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bCs/>
          <w:i w:val="0"/>
          <w:caps w:val="0"/>
          <w:color w:val="333333"/>
          <w:spacing w:val="0"/>
          <w:sz w:val="30"/>
          <w:szCs w:val="30"/>
          <w:bdr w:val="none" w:color="auto" w:sz="0" w:space="0"/>
          <w:shd w:val="clear" w:fill="FFFFFF"/>
        </w:rPr>
      </w:pPr>
      <w:r>
        <w:rPr>
          <w:rFonts w:ascii="微软雅黑" w:hAnsi="微软雅黑" w:eastAsia="微软雅黑" w:cs="微软雅黑"/>
          <w:b/>
          <w:bCs/>
          <w:i w:val="0"/>
          <w:caps w:val="0"/>
          <w:color w:val="333333"/>
          <w:spacing w:val="0"/>
          <w:sz w:val="30"/>
          <w:szCs w:val="30"/>
          <w:shd w:val="clear" w:fill="FFFFFF"/>
        </w:rPr>
        <w:t>中国共产党党员教育管理工作条例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ascii="微软雅黑" w:hAnsi="微软雅黑" w:eastAsia="微软雅黑" w:cs="微软雅黑"/>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第一章　</w:t>
      </w:r>
      <w:bookmarkStart w:id="0" w:name="_GoBack"/>
      <w:bookmarkEnd w:id="0"/>
      <w:r>
        <w:rPr>
          <w:rStyle w:val="5"/>
          <w:rFonts w:hint="eastAsia" w:ascii="微软雅黑" w:hAnsi="微软雅黑" w:eastAsia="微软雅黑" w:cs="微软雅黑"/>
          <w:i w:val="0"/>
          <w:caps w:val="0"/>
          <w:color w:val="333333"/>
          <w:spacing w:val="0"/>
          <w:sz w:val="21"/>
          <w:szCs w:val="21"/>
          <w:bdr w:val="none" w:color="auto" w:sz="0" w:space="0"/>
          <w:shd w:val="clear" w:fill="FFFFFF"/>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第四条　党员教育管理工作遵循以下原则：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（一）坚持党要管党、全面从严治党，将严的要求落实到党员教育管理工作全过程和各方面，党员领导干部带头接受教育管理；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（二）坚持以党的政治建设为统领，突出党性教育和政治理论教育，引导党员遵守党章党规党纪，不忘初心、牢记使命；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（三）坚持围绕中心、服务大局，注重党员教育管理质量和实效，保证党的理论和路线方针政策、党中央决策部署贯彻落实；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（四）坚持从实际出发，加强分类指导，尊重党员主体地位，充分发挥党支部直接教育、管理、监督党员作用。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第二章　学习贯彻习近平新时代中国特色社会主义思想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党员领导干部应当坚持更高标准、更严要求，全面学、系统学、贯通学、深入学、跟进学，自觉用以武装头脑、指导实践、推动工作，发挥示范带动作用。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第三章　党员教育基本任务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第十二条　加强党的宗旨教育，引导党员践行全心全意为人民服务的根本宗旨，贯彻党的群众路线，提高群众工作本领，密切联系服务群众。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第十五条　注重知识技能教育，根据党员岗位职责要求和工作需要，组织引导党员学习掌握业务知识、科技知识、实用技术等，帮助党员提高综合素质和履职能力，增强服务本领。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第四章　党员日常教育管理主要方式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党支部应当每月开展1次主题党日，贴近党员思想和工作实际，组织党员集中学习、过组织生活、进行民主议事和开展志愿服务等。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党员应当按期交纳党费。党组织应当做好党费收缴、使用和管理工作。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第十七条　党支部每年至少召开1次组织生活会，也可以根据工作需要随时召开，一般以党员大会、党支部委员会会议或者党小组会形式进行。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民主评议党员可以结合组织生活会一并进行。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第十九条　基层党组织应当注重分析党员思想状况和心理状态，党组织负责人应当经常同党员谈心谈话，有针对性地做好思想政治工作。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第二十一条　党组织应当按照党中央部署要求，组织党员认真参加党内集中学习教育，引导党员围绕学习教育主题，深入学习党的创新理论，查找解决自身存在的突出问题。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省级党委、行业系统党组织可以根据党员思想状况和党的建设需要，适时开展专题学习教育。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鼓励和引导党员参与志愿服务。党员应当积极参加党组织开展的志愿服务活动，也可以自行开展志愿服务活动。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第二十三条　党组织应当坚持从严教育管理和热情关心爱护相统一，从政治、思想、工作、生活上激励关怀帮扶党员。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第五章　党籍和党员组织关系管理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第二十四条　经党支部党员大会通过、基层党委审批接收的预备党员，自通过之日起，即取得党籍。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对因私出国并在国外长期定居的党员，出国学习研究超过5年仍未返回的党员，一般予以停止党籍。停止党籍的决定由保留其组织关系的党组织按照有关规定作出。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对停止党籍的党员，符合条件的，可以按照规定程序恢复党籍。对劝其退党、劝而不退除名、自行脱党除名、退党除名、开除党籍的，原则上不能恢复党籍，符合条件的可以重新入党。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第二十五条　党员组织关系是指党员对党的基层组织的隶属关系。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第二十六条　对没有人事档案的党员，应当由具有审批预备党员权限的基层党委建立党员档案，由所在党委或者县级以上党委组织部门保存。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有条件的地方，实行党员档案电子化管理。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第六章　党员监督和组织处置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第二十八条　发现党员有思想、工作、生活、作风和纪律方面苗头性倾向性问题的，以及群众对其有不良反映的，党组织负责人应当及时进行提醒谈话，抓早抓小、防微杜渐。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第三十一条　党员具有下列情形之一的，按照规定程序给予除名处置：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（一）理想信念缺失，政治立场动摇，已经丧失党员条件的，予以除名；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（二）信仰宗教，经党组织帮助教育仍没有转变的，劝其退党，劝而不退的予以除名；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（三）因思想蜕化提出退党，经教育后仍然坚持退党的，予以除名；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（四）为了达到个人目的以退党相要挟，经教育不改的，劝其退党，劝而不退的予以除名；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（五）限期改正期满后仍无转变的，劝其退党，劝而不退的予以除名；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（六）没有正当理由，连续6个月不参加党的组织生活，或者不交纳党费，或者不做党所分配的工作，按照自行脱党予以除名。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对违犯党纪的党员，按照《中国共产党纪律处分条例》规定给予党纪处分。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第七章　流动党员管理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对具备转移组织关系条件的流动党员，流出地和流入地党组织应当衔接做好转接工作。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公共就业和人才服务机构党组织应当建立健全流动人才党员党组织，理顺流动人才党员组织关系，加强和改进流动人才党员日常教育管理。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对出国（境）学习研究党员，由原就读高校或者工作单位党组织保留其组织关系，每半年至少与其联系1次。出国（境）学习研究党员返回后按照规定恢复组织生活。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第八章　党员教育管理信息化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注重利用信息数据，对党员队伍状况和党员教育管理工作进行实时分析研判，及时发现问题，不断改进工作。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党组织应当教育引导党员严格规范网络行为，敢于同网上错误言论作斗争，不得制作、发布、传播违反党的纪律规定和国家法律法规的信息内容。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第九章　组织领导和工作保障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中央组织部主要负责党员教育管理工作统筹协调，抓好党员集中教育和经常性教育的组织安排，加强对党员教育管理工作的具体指导。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中央纪委国家监委机关主要负责党员纪律作风教育，指导开展党员监督，查处党员违犯党的纪律和职务违法、职务犯罪行为。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中央宣传部主要负责党员政治理论教育、形势政策教育，指导协调编写党员教育教材，组织党员先进典型的学习宣传。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中央党校（国家行政学院）主要负责党员领导干部培训，指导地方党校（行政学院）将党员教育培训列入教学计划，保证课时和教学质量。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中央和国家机关工委主要负责指导中央和国家机关各级党组织做好党员教育管理工作。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教育部党组主要负责宏观指导高等学校党员教育管理工作。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国务院国资委党委主要负责所监管企业党员教育管理工作。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地方各级党委组织部和纪检监察机关、党委宣传部、党校（行政学院）、机关工委、教育工委、国资委党委等，分别按照职能职责，承担党员教育管理工作任务。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实行党员教育讲师聘任制，县级以上党委从优秀党校教师、基层党组织书记、先进模范人物、党务工作者、专家学者、实用技术人才、离退休干部等人员中选聘党员教育讲师。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加强全国党员教育培训教材建设规划，组织编写全国党员教育基本教材。各地区各部门各单位可以结合实际，开发各具特色、务实管用的党员教育教材。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对在党员教育管理工作中失职失责的，按照有关规定予以问责追责。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第四十四条　中国人民解放军和中国人民武装警察部队党员教育管理工作规定，由中央军事委员会根据本条例制定。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第四十五条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第四十六条　本条例自2019年5月6日起施行。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2020-08-20T03:37:15Z</dcterms:created>
  <dc:creator>Administrator</dc:creator>
  <cp:lastModifiedBy>Administrator</cp:lastModifiedBy>
  <dcterms:modified xsi:type="dcterms:W3CDTF">2020-08-20T03:43:58Z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