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C8555">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微生物学</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智慧</w:t>
      </w:r>
      <w:r>
        <w:rPr>
          <w:rFonts w:hint="eastAsia" w:ascii="宋体" w:hAnsi="宋体" w:eastAsia="宋体" w:cs="宋体"/>
          <w:b/>
          <w:bCs/>
          <w:sz w:val="32"/>
          <w:szCs w:val="32"/>
          <w:lang w:val="en-US" w:eastAsia="zh-CN"/>
        </w:rPr>
        <w:t>课程建设服务项目</w:t>
      </w:r>
    </w:p>
    <w:p w14:paraId="1F67863F">
      <w:pPr>
        <w:numPr>
          <w:ilvl w:val="0"/>
          <w:numId w:val="0"/>
        </w:numPr>
        <w:bidi w:val="0"/>
        <w:rPr>
          <w:rFonts w:hint="eastAsia" w:ascii="宋体" w:hAnsi="宋体" w:cs="仿宋"/>
          <w:sz w:val="24"/>
        </w:rPr>
      </w:pPr>
      <w:r>
        <w:rPr>
          <w:rFonts w:hint="eastAsia"/>
          <w:b/>
          <w:bCs/>
          <w:sz w:val="28"/>
          <w:szCs w:val="36"/>
          <w:lang w:val="en-US" w:eastAsia="zh-CN"/>
        </w:rPr>
        <w:t>服务内容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845"/>
        <w:gridCol w:w="2945"/>
        <w:gridCol w:w="847"/>
      </w:tblGrid>
      <w:tr w14:paraId="6B76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top"/>
          </w:tcPr>
          <w:p w14:paraId="1095736C">
            <w:pPr>
              <w:pStyle w:val="2"/>
              <w:rPr>
                <w:rFonts w:hint="eastAsia"/>
              </w:rPr>
            </w:pPr>
          </w:p>
        </w:tc>
        <w:tc>
          <w:tcPr>
            <w:tcW w:w="2845" w:type="dxa"/>
            <w:noWrap w:val="0"/>
            <w:vAlign w:val="top"/>
          </w:tcPr>
          <w:p w14:paraId="262E7471">
            <w:pPr>
              <w:spacing w:line="360" w:lineRule="auto"/>
              <w:ind w:firstLine="480" w:firstLineChars="200"/>
              <w:rPr>
                <w:rFonts w:hint="eastAsia" w:ascii="宋体" w:hAnsi="宋体" w:cs="仿宋"/>
                <w:sz w:val="24"/>
              </w:rPr>
            </w:pPr>
            <w:r>
              <w:rPr>
                <w:rFonts w:hint="eastAsia" w:ascii="宋体" w:hAnsi="宋体" w:cs="仿宋"/>
                <w:sz w:val="24"/>
              </w:rPr>
              <w:t>服务内容</w:t>
            </w:r>
          </w:p>
        </w:tc>
        <w:tc>
          <w:tcPr>
            <w:tcW w:w="2945" w:type="dxa"/>
            <w:noWrap w:val="0"/>
            <w:vAlign w:val="top"/>
          </w:tcPr>
          <w:p w14:paraId="09408D63">
            <w:pPr>
              <w:spacing w:line="360" w:lineRule="auto"/>
              <w:ind w:firstLine="480" w:firstLineChars="200"/>
              <w:rPr>
                <w:rFonts w:hint="eastAsia" w:ascii="宋体" w:hAnsi="宋体" w:cs="仿宋"/>
                <w:sz w:val="24"/>
              </w:rPr>
            </w:pPr>
            <w:r>
              <w:rPr>
                <w:rFonts w:hint="eastAsia" w:ascii="宋体" w:hAnsi="宋体" w:cs="仿宋"/>
                <w:sz w:val="24"/>
              </w:rPr>
              <w:t>内容简介</w:t>
            </w:r>
          </w:p>
        </w:tc>
        <w:tc>
          <w:tcPr>
            <w:tcW w:w="847" w:type="dxa"/>
            <w:noWrap w:val="0"/>
            <w:vAlign w:val="top"/>
          </w:tcPr>
          <w:p w14:paraId="2FDFAB8F">
            <w:pPr>
              <w:spacing w:line="360" w:lineRule="auto"/>
              <w:rPr>
                <w:rFonts w:hint="eastAsia" w:ascii="宋体" w:hAnsi="宋体" w:cs="仿宋"/>
                <w:sz w:val="24"/>
              </w:rPr>
            </w:pPr>
            <w:r>
              <w:rPr>
                <w:rFonts w:hint="eastAsia" w:ascii="宋体" w:hAnsi="宋体" w:cs="仿宋"/>
                <w:sz w:val="24"/>
              </w:rPr>
              <w:t>数量</w:t>
            </w:r>
          </w:p>
        </w:tc>
      </w:tr>
      <w:tr w14:paraId="4996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36237FEC">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1</w:t>
            </w:r>
          </w:p>
        </w:tc>
        <w:tc>
          <w:tcPr>
            <w:tcW w:w="2845" w:type="dxa"/>
            <w:noWrap w:val="0"/>
            <w:vAlign w:val="center"/>
          </w:tcPr>
          <w:p w14:paraId="74952778">
            <w:pPr>
              <w:spacing w:line="360" w:lineRule="auto"/>
              <w:rPr>
                <w:rFonts w:hint="eastAsia" w:ascii="宋体" w:hAnsi="宋体" w:cs="仿宋"/>
                <w:sz w:val="24"/>
              </w:rPr>
            </w:pPr>
            <w:r>
              <w:rPr>
                <w:rFonts w:hint="eastAsia" w:ascii="宋体" w:hAnsi="宋体" w:cs="仿宋"/>
                <w:sz w:val="24"/>
              </w:rPr>
              <w:t>课程专属大模型训练与AI助教建设服务</w:t>
            </w:r>
          </w:p>
        </w:tc>
        <w:tc>
          <w:tcPr>
            <w:tcW w:w="2945" w:type="dxa"/>
            <w:noWrap w:val="0"/>
            <w:vAlign w:val="top"/>
          </w:tcPr>
          <w:p w14:paraId="68A2D839">
            <w:pPr>
              <w:spacing w:line="360" w:lineRule="auto"/>
              <w:ind w:firstLine="480" w:firstLineChars="200"/>
              <w:rPr>
                <w:rFonts w:hint="eastAsia" w:ascii="宋体" w:hAnsi="宋体" w:cs="仿宋"/>
                <w:sz w:val="24"/>
              </w:rPr>
            </w:pPr>
            <w:r>
              <w:rPr>
                <w:rFonts w:hint="eastAsia" w:ascii="宋体" w:hAnsi="宋体" w:cs="仿宋"/>
                <w:sz w:val="24"/>
              </w:rPr>
              <w:t>通用大语言模型对接</w:t>
            </w:r>
          </w:p>
          <w:p w14:paraId="60A35440">
            <w:pPr>
              <w:spacing w:line="360" w:lineRule="auto"/>
              <w:ind w:firstLine="480" w:firstLineChars="200"/>
              <w:rPr>
                <w:rFonts w:hint="eastAsia" w:ascii="宋体" w:hAnsi="宋体" w:cs="仿宋"/>
                <w:sz w:val="24"/>
              </w:rPr>
            </w:pPr>
            <w:r>
              <w:rPr>
                <w:rFonts w:hint="eastAsia" w:ascii="宋体" w:hAnsi="宋体" w:cs="仿宋"/>
                <w:sz w:val="24"/>
              </w:rPr>
              <w:t>课程专属大模型训练</w:t>
            </w:r>
          </w:p>
          <w:p w14:paraId="504838CF">
            <w:pPr>
              <w:spacing w:line="360" w:lineRule="auto"/>
              <w:ind w:firstLine="480" w:firstLineChars="200"/>
              <w:rPr>
                <w:rFonts w:hint="eastAsia" w:ascii="宋体" w:hAnsi="宋体" w:cs="仿宋"/>
                <w:sz w:val="24"/>
              </w:rPr>
            </w:pPr>
            <w:r>
              <w:rPr>
                <w:rFonts w:hint="eastAsia" w:ascii="宋体" w:hAnsi="宋体" w:cs="仿宋"/>
                <w:sz w:val="24"/>
              </w:rPr>
              <w:t>课程AI助教问答库建设</w:t>
            </w:r>
          </w:p>
          <w:p w14:paraId="20F3AA57">
            <w:pPr>
              <w:spacing w:line="360" w:lineRule="auto"/>
              <w:ind w:firstLine="480" w:firstLineChars="200"/>
              <w:rPr>
                <w:rFonts w:hint="eastAsia" w:ascii="宋体" w:hAnsi="宋体" w:cs="仿宋"/>
                <w:sz w:val="24"/>
              </w:rPr>
            </w:pPr>
            <w:r>
              <w:rPr>
                <w:rFonts w:hint="eastAsia" w:ascii="宋体" w:hAnsi="宋体" w:cs="仿宋"/>
                <w:sz w:val="24"/>
              </w:rPr>
              <w:t>课程AI助教应用库建设</w:t>
            </w:r>
          </w:p>
        </w:tc>
        <w:tc>
          <w:tcPr>
            <w:tcW w:w="847" w:type="dxa"/>
            <w:noWrap w:val="0"/>
            <w:vAlign w:val="center"/>
          </w:tcPr>
          <w:p w14:paraId="587A4F17">
            <w:pPr>
              <w:spacing w:line="360" w:lineRule="auto"/>
              <w:rPr>
                <w:rFonts w:hint="eastAsia" w:ascii="宋体" w:hAnsi="宋体" w:cs="仿宋"/>
                <w:sz w:val="24"/>
              </w:rPr>
            </w:pPr>
            <w:r>
              <w:rPr>
                <w:rFonts w:hint="eastAsia" w:ascii="宋体" w:hAnsi="宋体" w:cs="仿宋"/>
                <w:sz w:val="24"/>
              </w:rPr>
              <w:t>1个</w:t>
            </w:r>
          </w:p>
        </w:tc>
      </w:tr>
      <w:tr w14:paraId="0374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8EAEE10">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2</w:t>
            </w:r>
          </w:p>
        </w:tc>
        <w:tc>
          <w:tcPr>
            <w:tcW w:w="2845" w:type="dxa"/>
            <w:noWrap w:val="0"/>
            <w:vAlign w:val="center"/>
          </w:tcPr>
          <w:p w14:paraId="21148EAD">
            <w:pPr>
              <w:spacing w:line="360" w:lineRule="auto"/>
              <w:ind w:firstLine="480" w:firstLineChars="200"/>
              <w:rPr>
                <w:rFonts w:hint="eastAsia" w:ascii="宋体" w:hAnsi="宋体" w:cs="仿宋"/>
                <w:sz w:val="24"/>
              </w:rPr>
            </w:pPr>
            <w:r>
              <w:rPr>
                <w:rFonts w:hint="eastAsia" w:ascii="宋体" w:hAnsi="宋体" w:cs="仿宋"/>
                <w:sz w:val="24"/>
              </w:rPr>
              <w:t>课程图谱建设服务</w:t>
            </w:r>
          </w:p>
        </w:tc>
        <w:tc>
          <w:tcPr>
            <w:tcW w:w="2945" w:type="dxa"/>
            <w:noWrap w:val="0"/>
            <w:vAlign w:val="top"/>
          </w:tcPr>
          <w:p w14:paraId="6DD5E560">
            <w:pPr>
              <w:spacing w:line="360" w:lineRule="auto"/>
              <w:ind w:firstLine="480" w:firstLineChars="200"/>
              <w:rPr>
                <w:rFonts w:hint="eastAsia" w:ascii="宋体" w:hAnsi="宋体" w:cs="仿宋"/>
                <w:sz w:val="24"/>
              </w:rPr>
            </w:pPr>
            <w:r>
              <w:rPr>
                <w:rFonts w:hint="eastAsia" w:ascii="宋体" w:hAnsi="宋体" w:cs="仿宋"/>
                <w:sz w:val="24"/>
              </w:rPr>
              <w:t>课程知识图谱</w:t>
            </w:r>
          </w:p>
          <w:p w14:paraId="2C7D88F0">
            <w:pPr>
              <w:spacing w:line="360" w:lineRule="auto"/>
              <w:ind w:firstLine="480" w:firstLineChars="200"/>
              <w:rPr>
                <w:rFonts w:hint="eastAsia" w:ascii="宋体" w:hAnsi="宋体" w:cs="仿宋"/>
                <w:sz w:val="24"/>
              </w:rPr>
            </w:pPr>
            <w:r>
              <w:rPr>
                <w:rFonts w:hint="eastAsia" w:ascii="宋体" w:hAnsi="宋体" w:cs="仿宋"/>
                <w:sz w:val="24"/>
              </w:rPr>
              <w:t>课程问题图谱</w:t>
            </w:r>
          </w:p>
          <w:p w14:paraId="3C672341">
            <w:pPr>
              <w:spacing w:line="360" w:lineRule="auto"/>
              <w:ind w:firstLine="480" w:firstLineChars="200"/>
              <w:rPr>
                <w:rFonts w:hint="eastAsia" w:ascii="宋体" w:hAnsi="宋体" w:cs="仿宋"/>
                <w:sz w:val="24"/>
              </w:rPr>
            </w:pPr>
            <w:r>
              <w:rPr>
                <w:rFonts w:hint="eastAsia" w:ascii="宋体" w:hAnsi="宋体" w:cs="仿宋"/>
                <w:sz w:val="24"/>
              </w:rPr>
              <w:t>课程</w:t>
            </w:r>
            <w:r>
              <w:rPr>
                <w:rFonts w:hint="eastAsia" w:ascii="宋体" w:hAnsi="宋体" w:cs="仿宋"/>
                <w:sz w:val="24"/>
                <w:lang w:val="en-US" w:eastAsia="zh-CN"/>
              </w:rPr>
              <w:t>能力</w:t>
            </w:r>
            <w:r>
              <w:rPr>
                <w:rFonts w:hint="eastAsia" w:ascii="宋体" w:hAnsi="宋体" w:cs="仿宋"/>
                <w:sz w:val="24"/>
              </w:rPr>
              <w:t>图谱</w:t>
            </w:r>
          </w:p>
          <w:p w14:paraId="25E33470">
            <w:pPr>
              <w:spacing w:line="360" w:lineRule="auto"/>
              <w:ind w:firstLine="480" w:firstLineChars="200"/>
              <w:rPr>
                <w:rFonts w:hint="eastAsia" w:ascii="宋体" w:hAnsi="宋体" w:cs="仿宋"/>
                <w:sz w:val="24"/>
              </w:rPr>
            </w:pPr>
            <w:r>
              <w:rPr>
                <w:rFonts w:hint="eastAsia" w:ascii="宋体" w:hAnsi="宋体" w:cs="仿宋"/>
                <w:sz w:val="24"/>
              </w:rPr>
              <w:t>课程思政图谱</w:t>
            </w:r>
          </w:p>
          <w:p w14:paraId="1C85839F">
            <w:pPr>
              <w:spacing w:line="360" w:lineRule="auto"/>
              <w:ind w:firstLine="480" w:firstLineChars="200"/>
              <w:rPr>
                <w:rFonts w:hint="eastAsia" w:ascii="宋体" w:hAnsi="宋体" w:cs="仿宋"/>
                <w:sz w:val="24"/>
              </w:rPr>
            </w:pPr>
            <w:r>
              <w:rPr>
                <w:rFonts w:hint="eastAsia" w:ascii="宋体" w:hAnsi="宋体" w:cs="仿宋"/>
                <w:sz w:val="24"/>
              </w:rPr>
              <w:t>知识图谱展示</w:t>
            </w:r>
          </w:p>
        </w:tc>
        <w:tc>
          <w:tcPr>
            <w:tcW w:w="847" w:type="dxa"/>
            <w:noWrap w:val="0"/>
            <w:vAlign w:val="center"/>
          </w:tcPr>
          <w:p w14:paraId="60A5E627">
            <w:pPr>
              <w:spacing w:line="360" w:lineRule="auto"/>
              <w:rPr>
                <w:rFonts w:hint="eastAsia" w:ascii="宋体" w:hAnsi="宋体" w:cs="仿宋"/>
                <w:sz w:val="24"/>
              </w:rPr>
            </w:pPr>
            <w:r>
              <w:rPr>
                <w:rFonts w:hint="eastAsia" w:ascii="宋体" w:hAnsi="宋体" w:cs="仿宋"/>
                <w:sz w:val="24"/>
              </w:rPr>
              <w:t>1套</w:t>
            </w:r>
          </w:p>
        </w:tc>
      </w:tr>
      <w:tr w14:paraId="53A8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C23D5A1">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3</w:t>
            </w:r>
          </w:p>
        </w:tc>
        <w:tc>
          <w:tcPr>
            <w:tcW w:w="2845" w:type="dxa"/>
            <w:noWrap w:val="0"/>
            <w:vAlign w:val="center"/>
          </w:tcPr>
          <w:p w14:paraId="10DEA2C7">
            <w:pPr>
              <w:spacing w:line="360" w:lineRule="auto"/>
              <w:ind w:firstLine="480" w:firstLineChars="200"/>
              <w:rPr>
                <w:rFonts w:hint="eastAsia" w:ascii="宋体" w:hAnsi="宋体" w:cs="仿宋"/>
                <w:sz w:val="24"/>
              </w:rPr>
            </w:pPr>
            <w:r>
              <w:rPr>
                <w:rFonts w:hint="eastAsia" w:ascii="宋体" w:hAnsi="宋体" w:cs="仿宋"/>
                <w:sz w:val="24"/>
              </w:rPr>
              <w:t>AI工作台教学应用</w:t>
            </w:r>
          </w:p>
        </w:tc>
        <w:tc>
          <w:tcPr>
            <w:tcW w:w="2945" w:type="dxa"/>
            <w:noWrap w:val="0"/>
            <w:vAlign w:val="top"/>
          </w:tcPr>
          <w:p w14:paraId="33ECD232">
            <w:pPr>
              <w:spacing w:line="360" w:lineRule="auto"/>
              <w:ind w:firstLine="480" w:firstLineChars="200"/>
              <w:rPr>
                <w:rFonts w:hint="eastAsia" w:ascii="宋体" w:hAnsi="宋体" w:cs="仿宋"/>
                <w:sz w:val="24"/>
              </w:rPr>
            </w:pPr>
            <w:r>
              <w:rPr>
                <w:rFonts w:hint="eastAsia" w:ascii="宋体" w:hAnsi="宋体" w:cs="仿宋"/>
                <w:sz w:val="24"/>
              </w:rPr>
              <w:t>AI教案</w:t>
            </w:r>
          </w:p>
          <w:p w14:paraId="6B2D96C3">
            <w:pPr>
              <w:spacing w:line="360" w:lineRule="auto"/>
              <w:ind w:firstLine="480" w:firstLineChars="200"/>
              <w:rPr>
                <w:rFonts w:hint="eastAsia" w:ascii="宋体" w:hAnsi="宋体" w:cs="仿宋"/>
                <w:sz w:val="24"/>
              </w:rPr>
            </w:pPr>
            <w:r>
              <w:rPr>
                <w:rFonts w:hint="eastAsia" w:ascii="宋体" w:hAnsi="宋体" w:cs="仿宋"/>
                <w:sz w:val="24"/>
              </w:rPr>
              <w:t>AI课件</w:t>
            </w:r>
          </w:p>
          <w:p w14:paraId="25269D0C">
            <w:pPr>
              <w:spacing w:line="360" w:lineRule="auto"/>
              <w:ind w:firstLine="480" w:firstLineChars="200"/>
              <w:rPr>
                <w:rFonts w:hint="eastAsia" w:ascii="宋体" w:hAnsi="宋体" w:cs="仿宋"/>
                <w:sz w:val="24"/>
              </w:rPr>
            </w:pPr>
            <w:r>
              <w:rPr>
                <w:rFonts w:hint="eastAsia" w:ascii="宋体" w:hAnsi="宋体" w:cs="仿宋"/>
                <w:sz w:val="24"/>
              </w:rPr>
              <w:t>AI写作</w:t>
            </w:r>
          </w:p>
          <w:p w14:paraId="39816AE6">
            <w:pPr>
              <w:spacing w:line="360" w:lineRule="auto"/>
              <w:ind w:firstLine="480" w:firstLineChars="200"/>
              <w:rPr>
                <w:rFonts w:hint="eastAsia" w:ascii="宋体" w:hAnsi="宋体" w:cs="仿宋"/>
                <w:sz w:val="24"/>
              </w:rPr>
            </w:pPr>
            <w:r>
              <w:rPr>
                <w:rFonts w:hint="eastAsia" w:ascii="宋体" w:hAnsi="宋体" w:cs="仿宋"/>
                <w:sz w:val="24"/>
              </w:rPr>
              <w:t>AI出题</w:t>
            </w:r>
          </w:p>
          <w:p w14:paraId="56B3C2E9">
            <w:pPr>
              <w:spacing w:line="360" w:lineRule="auto"/>
              <w:ind w:firstLine="480" w:firstLineChars="200"/>
              <w:rPr>
                <w:rFonts w:hint="eastAsia" w:ascii="宋体" w:hAnsi="宋体" w:cs="仿宋"/>
                <w:sz w:val="24"/>
              </w:rPr>
            </w:pPr>
            <w:r>
              <w:rPr>
                <w:rFonts w:hint="eastAsia" w:ascii="宋体" w:hAnsi="宋体" w:cs="仿宋"/>
                <w:sz w:val="24"/>
              </w:rPr>
              <w:t>AI批阅</w:t>
            </w:r>
          </w:p>
          <w:p w14:paraId="17BADF07">
            <w:pPr>
              <w:spacing w:line="360" w:lineRule="auto"/>
              <w:ind w:firstLine="480" w:firstLineChars="200"/>
              <w:rPr>
                <w:rFonts w:hint="eastAsia" w:ascii="宋体" w:hAnsi="宋体" w:cs="仿宋"/>
                <w:sz w:val="24"/>
              </w:rPr>
            </w:pPr>
            <w:r>
              <w:rPr>
                <w:rFonts w:hint="eastAsia" w:ascii="宋体" w:hAnsi="宋体" w:cs="仿宋"/>
                <w:sz w:val="24"/>
              </w:rPr>
              <w:t>AI学情分析</w:t>
            </w:r>
          </w:p>
          <w:p w14:paraId="4FFB96B3">
            <w:pPr>
              <w:spacing w:line="360" w:lineRule="auto"/>
              <w:ind w:firstLine="480" w:firstLineChars="200"/>
              <w:rPr>
                <w:rFonts w:hint="eastAsia" w:ascii="宋体" w:hAnsi="宋体" w:cs="仿宋"/>
                <w:sz w:val="24"/>
              </w:rPr>
            </w:pPr>
            <w:r>
              <w:rPr>
                <w:rFonts w:hint="eastAsia" w:ascii="宋体" w:hAnsi="宋体" w:cs="仿宋"/>
                <w:sz w:val="24"/>
              </w:rPr>
              <w:t>个性化学习路径推荐</w:t>
            </w:r>
          </w:p>
          <w:p w14:paraId="2887C793">
            <w:pPr>
              <w:spacing w:line="360" w:lineRule="auto"/>
              <w:ind w:firstLine="480" w:firstLineChars="200"/>
              <w:rPr>
                <w:rFonts w:hint="eastAsia" w:ascii="宋体" w:hAnsi="宋体" w:cs="仿宋"/>
                <w:sz w:val="24"/>
              </w:rPr>
            </w:pPr>
            <w:r>
              <w:rPr>
                <w:rFonts w:hint="eastAsia" w:ascii="宋体" w:hAnsi="宋体" w:cs="仿宋"/>
                <w:sz w:val="24"/>
              </w:rPr>
              <w:t>智能推荐资源</w:t>
            </w:r>
          </w:p>
          <w:p w14:paraId="719D2F74">
            <w:pPr>
              <w:spacing w:line="360" w:lineRule="auto"/>
              <w:ind w:firstLine="480" w:firstLineChars="200"/>
              <w:rPr>
                <w:rFonts w:hint="eastAsia" w:ascii="宋体" w:hAnsi="宋体" w:cs="仿宋"/>
                <w:sz w:val="24"/>
              </w:rPr>
            </w:pPr>
            <w:r>
              <w:rPr>
                <w:rFonts w:hint="eastAsia" w:ascii="宋体" w:hAnsi="宋体" w:cs="仿宋"/>
                <w:sz w:val="24"/>
              </w:rPr>
              <w:t>文献阅读</w:t>
            </w:r>
          </w:p>
          <w:p w14:paraId="04156CFA">
            <w:pPr>
              <w:spacing w:line="360" w:lineRule="auto"/>
              <w:ind w:firstLine="480" w:firstLineChars="200"/>
              <w:rPr>
                <w:rFonts w:hint="eastAsia" w:ascii="宋体" w:hAnsi="宋体" w:cs="仿宋"/>
                <w:sz w:val="24"/>
              </w:rPr>
            </w:pPr>
            <w:r>
              <w:rPr>
                <w:rFonts w:hint="eastAsia" w:ascii="宋体" w:hAnsi="宋体" w:cs="仿宋"/>
                <w:sz w:val="24"/>
              </w:rPr>
              <w:t>视频理解</w:t>
            </w:r>
          </w:p>
          <w:p w14:paraId="5F71F6FC">
            <w:pPr>
              <w:spacing w:line="360" w:lineRule="auto"/>
              <w:ind w:firstLine="480" w:firstLineChars="200"/>
              <w:rPr>
                <w:rFonts w:hint="eastAsia" w:ascii="宋体" w:hAnsi="宋体" w:cs="仿宋"/>
                <w:sz w:val="24"/>
              </w:rPr>
            </w:pPr>
            <w:r>
              <w:rPr>
                <w:rFonts w:hint="eastAsia" w:ascii="宋体" w:hAnsi="宋体" w:cs="仿宋"/>
                <w:sz w:val="24"/>
              </w:rPr>
              <w:t>章节内容智能审查与文本纠错</w:t>
            </w:r>
          </w:p>
          <w:p w14:paraId="4257B447">
            <w:pPr>
              <w:spacing w:line="360" w:lineRule="auto"/>
              <w:ind w:firstLine="480" w:firstLineChars="200"/>
              <w:rPr>
                <w:rFonts w:hint="eastAsia" w:ascii="宋体" w:hAnsi="宋体" w:cs="仿宋"/>
                <w:sz w:val="24"/>
              </w:rPr>
            </w:pPr>
            <w:r>
              <w:rPr>
                <w:rFonts w:hint="eastAsia" w:ascii="宋体" w:hAnsi="宋体" w:cs="仿宋"/>
                <w:sz w:val="24"/>
              </w:rPr>
              <w:t>作业智能查重</w:t>
            </w:r>
          </w:p>
          <w:p w14:paraId="40C22D8F">
            <w:pPr>
              <w:spacing w:line="360" w:lineRule="auto"/>
              <w:ind w:firstLine="480" w:firstLineChars="200"/>
              <w:rPr>
                <w:rFonts w:hint="eastAsia" w:ascii="宋体" w:hAnsi="宋体" w:cs="仿宋"/>
                <w:sz w:val="24"/>
              </w:rPr>
            </w:pPr>
            <w:r>
              <w:rPr>
                <w:rFonts w:hint="eastAsia" w:ascii="宋体" w:hAnsi="宋体" w:cs="仿宋"/>
                <w:sz w:val="24"/>
              </w:rPr>
              <w:t>视频智能分析</w:t>
            </w:r>
          </w:p>
          <w:p w14:paraId="04B99527">
            <w:pPr>
              <w:spacing w:line="360" w:lineRule="auto"/>
              <w:ind w:firstLine="480" w:firstLineChars="200"/>
              <w:rPr>
                <w:rFonts w:hint="eastAsia" w:ascii="宋体" w:hAnsi="宋体" w:cs="仿宋"/>
                <w:sz w:val="24"/>
              </w:rPr>
            </w:pPr>
            <w:r>
              <w:rPr>
                <w:rFonts w:hint="eastAsia" w:ascii="宋体" w:hAnsi="宋体" w:cs="仿宋"/>
                <w:sz w:val="24"/>
              </w:rPr>
              <w:t>智能翻译</w:t>
            </w:r>
          </w:p>
          <w:p w14:paraId="032DE1A5">
            <w:pPr>
              <w:spacing w:line="360" w:lineRule="auto"/>
              <w:ind w:firstLine="480" w:firstLineChars="200"/>
              <w:rPr>
                <w:rFonts w:hint="eastAsia" w:ascii="宋体" w:hAnsi="宋体" w:cs="仿宋"/>
                <w:sz w:val="24"/>
              </w:rPr>
            </w:pPr>
            <w:r>
              <w:rPr>
                <w:rFonts w:hint="eastAsia" w:ascii="宋体" w:hAnsi="宋体" w:cs="仿宋"/>
                <w:sz w:val="24"/>
              </w:rPr>
              <w:t>公式识别等应用</w:t>
            </w:r>
          </w:p>
        </w:tc>
        <w:tc>
          <w:tcPr>
            <w:tcW w:w="847" w:type="dxa"/>
            <w:noWrap w:val="0"/>
            <w:vAlign w:val="center"/>
          </w:tcPr>
          <w:p w14:paraId="7D00ADFB">
            <w:pPr>
              <w:spacing w:line="360" w:lineRule="auto"/>
              <w:rPr>
                <w:rFonts w:hint="eastAsia" w:ascii="宋体" w:hAnsi="宋体" w:cs="仿宋"/>
                <w:sz w:val="24"/>
              </w:rPr>
            </w:pPr>
            <w:r>
              <w:rPr>
                <w:rFonts w:hint="eastAsia" w:ascii="宋体" w:hAnsi="宋体" w:cs="仿宋"/>
                <w:sz w:val="24"/>
              </w:rPr>
              <w:t>1套</w:t>
            </w:r>
          </w:p>
        </w:tc>
      </w:tr>
      <w:tr w14:paraId="2743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0ED1B49B">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4</w:t>
            </w:r>
          </w:p>
        </w:tc>
        <w:tc>
          <w:tcPr>
            <w:tcW w:w="2845" w:type="dxa"/>
            <w:noWrap w:val="0"/>
            <w:vAlign w:val="center"/>
          </w:tcPr>
          <w:p w14:paraId="05E26DB3">
            <w:pPr>
              <w:spacing w:line="360" w:lineRule="auto"/>
              <w:ind w:firstLine="480" w:firstLineChars="200"/>
              <w:rPr>
                <w:rFonts w:hint="eastAsia" w:ascii="宋体" w:hAnsi="宋体" w:cs="仿宋"/>
                <w:sz w:val="24"/>
              </w:rPr>
            </w:pPr>
            <w:r>
              <w:rPr>
                <w:rFonts w:hint="eastAsia" w:ascii="宋体" w:hAnsi="宋体" w:cs="仿宋"/>
                <w:sz w:val="24"/>
              </w:rPr>
              <w:t>学情分析</w:t>
            </w:r>
          </w:p>
        </w:tc>
        <w:tc>
          <w:tcPr>
            <w:tcW w:w="2945" w:type="dxa"/>
            <w:noWrap w:val="0"/>
            <w:vAlign w:val="top"/>
          </w:tcPr>
          <w:p w14:paraId="1059DC86">
            <w:pPr>
              <w:spacing w:line="360" w:lineRule="auto"/>
              <w:ind w:firstLine="480" w:firstLineChars="200"/>
              <w:rPr>
                <w:rFonts w:hint="eastAsia" w:ascii="宋体" w:hAnsi="宋体" w:cs="仿宋"/>
                <w:sz w:val="24"/>
              </w:rPr>
            </w:pPr>
            <w:r>
              <w:rPr>
                <w:rFonts w:hint="eastAsia" w:ascii="宋体" w:hAnsi="宋体" w:cs="仿宋"/>
                <w:sz w:val="24"/>
              </w:rPr>
              <w:t>师生教学数据分析</w:t>
            </w:r>
          </w:p>
          <w:p w14:paraId="47B15C47">
            <w:pPr>
              <w:spacing w:line="360" w:lineRule="auto"/>
              <w:ind w:firstLine="480" w:firstLineChars="200"/>
              <w:rPr>
                <w:rFonts w:hint="eastAsia" w:ascii="宋体" w:hAnsi="宋体" w:cs="仿宋"/>
                <w:sz w:val="24"/>
              </w:rPr>
            </w:pPr>
            <w:r>
              <w:rPr>
                <w:rFonts w:hint="eastAsia" w:ascii="宋体" w:hAnsi="宋体" w:cs="仿宋"/>
                <w:sz w:val="24"/>
              </w:rPr>
              <w:t>学习路径规划等</w:t>
            </w:r>
          </w:p>
        </w:tc>
        <w:tc>
          <w:tcPr>
            <w:tcW w:w="847" w:type="dxa"/>
            <w:noWrap w:val="0"/>
            <w:vAlign w:val="center"/>
          </w:tcPr>
          <w:p w14:paraId="002086C3">
            <w:pPr>
              <w:spacing w:line="360" w:lineRule="auto"/>
              <w:rPr>
                <w:rFonts w:hint="eastAsia" w:ascii="宋体" w:hAnsi="宋体" w:cs="仿宋"/>
                <w:sz w:val="24"/>
              </w:rPr>
            </w:pPr>
            <w:r>
              <w:rPr>
                <w:rFonts w:hint="eastAsia" w:ascii="宋体" w:hAnsi="宋体" w:cs="仿宋"/>
                <w:sz w:val="24"/>
              </w:rPr>
              <w:t>1套</w:t>
            </w:r>
          </w:p>
        </w:tc>
      </w:tr>
      <w:tr w14:paraId="711D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346B573">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5</w:t>
            </w:r>
          </w:p>
        </w:tc>
        <w:tc>
          <w:tcPr>
            <w:tcW w:w="2845" w:type="dxa"/>
            <w:noWrap w:val="0"/>
            <w:vAlign w:val="center"/>
          </w:tcPr>
          <w:p w14:paraId="3E7FD3B4">
            <w:pPr>
              <w:spacing w:line="360" w:lineRule="auto"/>
              <w:ind w:firstLine="480" w:firstLineChars="200"/>
              <w:rPr>
                <w:rFonts w:hint="eastAsia" w:ascii="宋体" w:hAnsi="宋体" w:cs="仿宋"/>
                <w:sz w:val="24"/>
              </w:rPr>
            </w:pPr>
            <w:r>
              <w:rPr>
                <w:rFonts w:hint="eastAsia" w:ascii="宋体" w:hAnsi="宋体" w:cs="仿宋"/>
                <w:sz w:val="24"/>
              </w:rPr>
              <w:t>课程门户</w:t>
            </w:r>
          </w:p>
        </w:tc>
        <w:tc>
          <w:tcPr>
            <w:tcW w:w="2945" w:type="dxa"/>
            <w:noWrap w:val="0"/>
            <w:vAlign w:val="top"/>
          </w:tcPr>
          <w:p w14:paraId="1E3D6A4F">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rPr>
              <w:t>智慧课程门户搭建</w:t>
            </w:r>
            <w:r>
              <w:rPr>
                <w:rFonts w:hint="eastAsia" w:ascii="宋体" w:hAnsi="宋体" w:cs="仿宋"/>
                <w:sz w:val="24"/>
                <w:lang w:eastAsia="zh-CN"/>
              </w:rPr>
              <w:t>（</w:t>
            </w:r>
            <w:r>
              <w:rPr>
                <w:rFonts w:hint="eastAsia" w:ascii="宋体" w:hAnsi="宋体" w:cs="仿宋"/>
                <w:sz w:val="24"/>
                <w:lang w:val="en-US" w:eastAsia="zh-CN"/>
              </w:rPr>
              <w:t>3D）</w:t>
            </w:r>
          </w:p>
          <w:p w14:paraId="163007DF">
            <w:pPr>
              <w:spacing w:line="360" w:lineRule="auto"/>
              <w:ind w:firstLine="480" w:firstLineChars="200"/>
              <w:rPr>
                <w:rFonts w:hint="eastAsia" w:ascii="宋体" w:hAnsi="宋体" w:cs="仿宋"/>
                <w:sz w:val="24"/>
              </w:rPr>
            </w:pPr>
            <w:r>
              <w:rPr>
                <w:rFonts w:hint="eastAsia" w:ascii="宋体" w:hAnsi="宋体" w:cs="仿宋"/>
                <w:sz w:val="24"/>
              </w:rPr>
              <w:t>智慧课程门户展示</w:t>
            </w:r>
          </w:p>
          <w:p w14:paraId="7DD77FB3">
            <w:pPr>
              <w:spacing w:line="360" w:lineRule="auto"/>
              <w:ind w:firstLine="480" w:firstLineChars="200"/>
              <w:rPr>
                <w:rFonts w:hint="eastAsia" w:ascii="宋体" w:hAnsi="宋体" w:cs="仿宋"/>
                <w:sz w:val="24"/>
              </w:rPr>
            </w:pPr>
            <w:r>
              <w:rPr>
                <w:rFonts w:hint="eastAsia" w:ascii="宋体" w:hAnsi="宋体" w:cs="仿宋"/>
                <w:sz w:val="24"/>
              </w:rPr>
              <w:t>知识图谱展示与应用</w:t>
            </w:r>
          </w:p>
          <w:p w14:paraId="6E839225">
            <w:pPr>
              <w:spacing w:line="360" w:lineRule="auto"/>
              <w:ind w:firstLine="480" w:firstLineChars="200"/>
              <w:rPr>
                <w:rFonts w:hint="eastAsia" w:ascii="宋体" w:hAnsi="宋体" w:cs="仿宋"/>
                <w:sz w:val="24"/>
              </w:rPr>
            </w:pPr>
            <w:r>
              <w:rPr>
                <w:rFonts w:hint="eastAsia" w:ascii="宋体" w:hAnsi="宋体" w:cs="仿宋"/>
                <w:sz w:val="24"/>
              </w:rPr>
              <w:t>AI助教展示与应用</w:t>
            </w:r>
          </w:p>
          <w:p w14:paraId="20AB81D6">
            <w:pPr>
              <w:spacing w:line="360" w:lineRule="auto"/>
              <w:ind w:firstLine="480" w:firstLineChars="200"/>
              <w:rPr>
                <w:rFonts w:hint="eastAsia" w:ascii="宋体" w:hAnsi="宋体" w:cs="仿宋"/>
                <w:sz w:val="24"/>
              </w:rPr>
            </w:pPr>
            <w:r>
              <w:rPr>
                <w:rFonts w:hint="eastAsia" w:ascii="宋体" w:hAnsi="宋体" w:cs="仿宋"/>
                <w:sz w:val="24"/>
              </w:rPr>
              <w:t>课程运行数据统计分析</w:t>
            </w:r>
          </w:p>
        </w:tc>
        <w:tc>
          <w:tcPr>
            <w:tcW w:w="847" w:type="dxa"/>
            <w:noWrap w:val="0"/>
            <w:vAlign w:val="center"/>
          </w:tcPr>
          <w:p w14:paraId="070891BC">
            <w:pPr>
              <w:spacing w:line="360" w:lineRule="auto"/>
              <w:rPr>
                <w:rFonts w:hint="eastAsia" w:ascii="宋体" w:hAnsi="宋体" w:cs="仿宋"/>
                <w:sz w:val="24"/>
              </w:rPr>
            </w:pPr>
            <w:r>
              <w:rPr>
                <w:rFonts w:hint="eastAsia" w:ascii="宋体" w:hAnsi="宋体" w:cs="仿宋"/>
                <w:sz w:val="24"/>
              </w:rPr>
              <w:t>1个</w:t>
            </w:r>
          </w:p>
        </w:tc>
      </w:tr>
      <w:tr w14:paraId="5F3E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E77A6EA">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6</w:t>
            </w:r>
          </w:p>
        </w:tc>
        <w:tc>
          <w:tcPr>
            <w:tcW w:w="2845" w:type="dxa"/>
            <w:noWrap w:val="0"/>
            <w:vAlign w:val="center"/>
          </w:tcPr>
          <w:p w14:paraId="46791E99">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虚拟展厅</w:t>
            </w:r>
          </w:p>
        </w:tc>
        <w:tc>
          <w:tcPr>
            <w:tcW w:w="2945" w:type="dxa"/>
            <w:noWrap w:val="0"/>
            <w:vAlign w:val="top"/>
          </w:tcPr>
          <w:p w14:paraId="62886834">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课程介绍3D展厅建设</w:t>
            </w:r>
          </w:p>
        </w:tc>
        <w:tc>
          <w:tcPr>
            <w:tcW w:w="847" w:type="dxa"/>
            <w:noWrap w:val="0"/>
            <w:vAlign w:val="center"/>
          </w:tcPr>
          <w:p w14:paraId="197BC96A">
            <w:pPr>
              <w:spacing w:line="360" w:lineRule="auto"/>
              <w:rPr>
                <w:rFonts w:hint="eastAsia" w:ascii="宋体" w:hAnsi="宋体" w:eastAsia="宋体" w:cs="仿宋"/>
                <w:sz w:val="24"/>
                <w:lang w:val="en-US" w:eastAsia="zh-CN"/>
              </w:rPr>
            </w:pPr>
            <w:r>
              <w:rPr>
                <w:rFonts w:hint="eastAsia" w:ascii="宋体" w:hAnsi="宋体" w:cs="仿宋"/>
                <w:sz w:val="24"/>
                <w:lang w:val="en-US" w:eastAsia="zh-CN"/>
              </w:rPr>
              <w:t>1</w:t>
            </w:r>
          </w:p>
        </w:tc>
      </w:tr>
      <w:tr w14:paraId="0E1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71051FC5">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7</w:t>
            </w:r>
          </w:p>
        </w:tc>
        <w:tc>
          <w:tcPr>
            <w:tcW w:w="2845" w:type="dxa"/>
            <w:noWrap w:val="0"/>
            <w:vAlign w:val="center"/>
          </w:tcPr>
          <w:p w14:paraId="6219F3DE">
            <w:pPr>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大模型</w:t>
            </w:r>
          </w:p>
        </w:tc>
        <w:tc>
          <w:tcPr>
            <w:tcW w:w="2945" w:type="dxa"/>
            <w:noWrap w:val="0"/>
            <w:vAlign w:val="top"/>
          </w:tcPr>
          <w:p w14:paraId="7370B0ED">
            <w:pPr>
              <w:spacing w:line="360" w:lineRule="auto"/>
              <w:ind w:firstLine="480" w:firstLineChars="200"/>
              <w:rPr>
                <w:rFonts w:hint="eastAsia" w:ascii="宋体" w:hAnsi="宋体" w:cs="仿宋"/>
                <w:sz w:val="24"/>
              </w:rPr>
            </w:pPr>
            <w:r>
              <w:rPr>
                <w:rFonts w:hint="eastAsia" w:ascii="宋体" w:hAnsi="宋体" w:cs="仿宋"/>
                <w:sz w:val="24"/>
                <w:lang w:val="en-US" w:eastAsia="zh-CN"/>
              </w:rPr>
              <w:t>专属大模型+满血版DeepSeek</w:t>
            </w:r>
          </w:p>
        </w:tc>
        <w:tc>
          <w:tcPr>
            <w:tcW w:w="847" w:type="dxa"/>
            <w:noWrap w:val="0"/>
            <w:vAlign w:val="center"/>
          </w:tcPr>
          <w:p w14:paraId="2361ADD4">
            <w:pPr>
              <w:spacing w:line="360" w:lineRule="auto"/>
              <w:rPr>
                <w:rFonts w:hint="eastAsia" w:ascii="宋体" w:hAnsi="宋体" w:cs="仿宋"/>
                <w:sz w:val="24"/>
                <w:lang w:val="en-US" w:eastAsia="zh-CN"/>
              </w:rPr>
            </w:pPr>
            <w:r>
              <w:rPr>
                <w:rFonts w:hint="eastAsia" w:ascii="宋体" w:hAnsi="宋体" w:cs="仿宋"/>
                <w:sz w:val="24"/>
                <w:lang w:val="en-US" w:eastAsia="zh-CN"/>
              </w:rPr>
              <w:t>1个</w:t>
            </w:r>
          </w:p>
        </w:tc>
      </w:tr>
      <w:tr w14:paraId="4AD5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D49A119">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8</w:t>
            </w:r>
          </w:p>
        </w:tc>
        <w:tc>
          <w:tcPr>
            <w:tcW w:w="2845" w:type="dxa"/>
            <w:noWrap w:val="0"/>
            <w:vAlign w:val="center"/>
          </w:tcPr>
          <w:p w14:paraId="6F19BA6E">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数字人形象</w:t>
            </w:r>
          </w:p>
        </w:tc>
        <w:tc>
          <w:tcPr>
            <w:tcW w:w="2945" w:type="dxa"/>
            <w:noWrap w:val="0"/>
            <w:vAlign w:val="top"/>
          </w:tcPr>
          <w:p w14:paraId="574BA42C">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20个视频＋速课平台</w:t>
            </w:r>
          </w:p>
        </w:tc>
        <w:tc>
          <w:tcPr>
            <w:tcW w:w="847" w:type="dxa"/>
            <w:noWrap w:val="0"/>
            <w:vAlign w:val="center"/>
          </w:tcPr>
          <w:p w14:paraId="1088EE90">
            <w:pPr>
              <w:spacing w:line="360" w:lineRule="auto"/>
              <w:rPr>
                <w:rFonts w:hint="default" w:ascii="宋体" w:hAnsi="宋体" w:cs="仿宋"/>
                <w:sz w:val="24"/>
                <w:lang w:val="en-US" w:eastAsia="zh-CN"/>
              </w:rPr>
            </w:pPr>
            <w:r>
              <w:rPr>
                <w:rFonts w:hint="eastAsia" w:ascii="宋体" w:hAnsi="宋体" w:cs="仿宋"/>
                <w:sz w:val="24"/>
                <w:lang w:val="en-US" w:eastAsia="zh-CN"/>
              </w:rPr>
              <w:t>3个</w:t>
            </w:r>
          </w:p>
        </w:tc>
      </w:tr>
      <w:tr w14:paraId="22F6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121455F3">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9</w:t>
            </w:r>
          </w:p>
        </w:tc>
        <w:tc>
          <w:tcPr>
            <w:tcW w:w="2845" w:type="dxa"/>
            <w:noWrap w:val="0"/>
            <w:vAlign w:val="center"/>
          </w:tcPr>
          <w:p w14:paraId="0DA8DEF1">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定制AI助教小人形象（动画版）</w:t>
            </w:r>
          </w:p>
        </w:tc>
        <w:tc>
          <w:tcPr>
            <w:tcW w:w="2945" w:type="dxa"/>
            <w:noWrap w:val="0"/>
            <w:vAlign w:val="top"/>
          </w:tcPr>
          <w:p w14:paraId="39C129CC">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按老师形象定制专属动画助教小人</w:t>
            </w:r>
          </w:p>
        </w:tc>
        <w:tc>
          <w:tcPr>
            <w:tcW w:w="847" w:type="dxa"/>
            <w:noWrap w:val="0"/>
            <w:vAlign w:val="center"/>
          </w:tcPr>
          <w:p w14:paraId="168992E5">
            <w:pPr>
              <w:spacing w:line="360" w:lineRule="auto"/>
              <w:rPr>
                <w:rFonts w:hint="default" w:ascii="宋体" w:hAnsi="宋体" w:cs="仿宋"/>
                <w:sz w:val="24"/>
                <w:lang w:val="en-US" w:eastAsia="zh-CN"/>
              </w:rPr>
            </w:pPr>
            <w:r>
              <w:rPr>
                <w:rFonts w:hint="eastAsia" w:ascii="宋体" w:hAnsi="宋体" w:cs="仿宋"/>
                <w:sz w:val="24"/>
                <w:lang w:val="en-US" w:eastAsia="zh-CN"/>
              </w:rPr>
              <w:t>1个</w:t>
            </w:r>
          </w:p>
        </w:tc>
      </w:tr>
      <w:tr w14:paraId="4EA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CF974AD">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10</w:t>
            </w:r>
          </w:p>
        </w:tc>
        <w:tc>
          <w:tcPr>
            <w:tcW w:w="2845" w:type="dxa"/>
            <w:noWrap w:val="0"/>
            <w:vAlign w:val="center"/>
          </w:tcPr>
          <w:p w14:paraId="608B649F">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课程建设</w:t>
            </w:r>
          </w:p>
        </w:tc>
        <w:tc>
          <w:tcPr>
            <w:tcW w:w="2945" w:type="dxa"/>
            <w:noWrap w:val="0"/>
            <w:vAlign w:val="top"/>
          </w:tcPr>
          <w:p w14:paraId="0BAA7C55">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章节、课件、题库、关联资源等建设</w:t>
            </w:r>
          </w:p>
        </w:tc>
        <w:tc>
          <w:tcPr>
            <w:tcW w:w="847" w:type="dxa"/>
            <w:noWrap w:val="0"/>
            <w:vAlign w:val="center"/>
          </w:tcPr>
          <w:p w14:paraId="0E10565E">
            <w:pPr>
              <w:spacing w:line="360" w:lineRule="auto"/>
              <w:rPr>
                <w:rFonts w:hint="default" w:ascii="宋体" w:hAnsi="宋体" w:cs="仿宋"/>
                <w:sz w:val="24"/>
                <w:lang w:val="en-US" w:eastAsia="zh-CN"/>
              </w:rPr>
            </w:pPr>
            <w:r>
              <w:rPr>
                <w:rFonts w:hint="eastAsia" w:ascii="宋体" w:hAnsi="宋体" w:cs="仿宋"/>
                <w:sz w:val="24"/>
                <w:lang w:val="en-US" w:eastAsia="zh-CN"/>
              </w:rPr>
              <w:t>1套</w:t>
            </w:r>
          </w:p>
        </w:tc>
      </w:tr>
    </w:tbl>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9"/>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76BA61D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5">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5407D"/>
    <w:rsid w:val="1F5B11F2"/>
    <w:rsid w:val="21C7702E"/>
    <w:rsid w:val="3E3D0FF4"/>
    <w:rsid w:val="5EE94B54"/>
    <w:rsid w:val="67660049"/>
    <w:rsid w:val="6ED33C3B"/>
    <w:rsid w:val="7C831426"/>
    <w:rsid w:val="7FCC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99"/>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spacing w:line="400" w:lineRule="atLeast"/>
      <w:ind w:firstLine="426"/>
    </w:pPr>
    <w:rPr>
      <w:rFonts w:ascii="Times New Roman" w:hAnsi="Times New Roman"/>
      <w:sz w:val="24"/>
    </w:rPr>
  </w:style>
  <w:style w:type="paragraph" w:styleId="9">
    <w:name w:val="Body Text First Indent 2"/>
    <w:basedOn w:val="4"/>
    <w:next w:val="8"/>
    <w:unhideWhenUsed/>
    <w:qFormat/>
    <w:uiPriority w:val="99"/>
    <w:pPr>
      <w:widowControl/>
      <w:autoSpaceDE/>
      <w:autoSpaceDN/>
      <w:adjustRightInd/>
      <w:ind w:firstLine="420" w:firstLineChars="200"/>
    </w:pPr>
    <w:rPr>
      <w:rFonts w:eastAsia="宋体"/>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8072</Words>
  <Characters>8472</Characters>
  <Lines>0</Lines>
  <Paragraphs>0</Paragraphs>
  <TotalTime>0</TotalTime>
  <ScaleCrop>false</ScaleCrop>
  <LinksUpToDate>false</LinksUpToDate>
  <CharactersWithSpaces>8526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2025-07-02T12:32:00Z</dcterms:created>
  <dc:creator>仇芳</dc:creator>
  <cp:lastModifiedBy>二轮驱途</cp:lastModifiedBy>
  <dcterms:modified xsi:type="dcterms:W3CDTF">2025-09-15T05:44:51Z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eyJoZGlkIjoiZjFmZWIzNDg2MmIzZjExOTIzMmViNTBmYTMwYTk0ZWYiLCJ1c2VySWQiOiIyMzMwNTYwODUifQ==</vt:lpwstr>
  </property>
  <property fmtid="{D5CDD505-2E9C-101B-9397-08002B2CF9AE}" pid="4" name="ICV">
    <vt:lpwstr>DA1599F4B4D24CC0A626B5F1E6D7B9DA_12</vt:lpwstr>
  </property>
</Properties>
</file>