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28"/>
          <w:szCs w:val="28"/>
        </w:rPr>
      </w:pPr>
      <w:r>
        <w:rPr>
          <w:rFonts w:hint="eastAsia"/>
        </w:rPr>
        <w:t xml:space="preserve">                                             </w:t>
      </w:r>
      <w:r>
        <w:drawing>
          <wp:inline distT="0" distB="0" distL="114300" distR="114300">
            <wp:extent cx="893445" cy="1261745"/>
            <wp:effectExtent l="0" t="0" r="1905"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 cstate="print"/>
                    <a:stretch>
                      <a:fillRect/>
                    </a:stretch>
                  </pic:blipFill>
                  <pic:spPr>
                    <a:xfrm>
                      <a:off x="0" y="0"/>
                      <a:ext cx="893445" cy="1261745"/>
                    </a:xfrm>
                    <a:prstGeom prst="rect">
                      <a:avLst/>
                    </a:prstGeom>
                    <a:noFill/>
                    <a:ln w="9525">
                      <a:noFill/>
                    </a:ln>
                  </pic:spPr>
                </pic:pic>
              </a:graphicData>
            </a:graphic>
          </wp:inline>
        </w:drawing>
      </w:r>
      <w:r>
        <w:rPr>
          <w:rFonts w:hint="eastAsia"/>
        </w:rPr>
        <w:t xml:space="preserve"> </w:t>
      </w:r>
      <w:r>
        <w:drawing>
          <wp:inline distT="0" distB="0" distL="114300" distR="114300">
            <wp:extent cx="2630170" cy="650875"/>
            <wp:effectExtent l="0" t="0" r="17780" b="1587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 cstate="print"/>
                    <a:stretch>
                      <a:fillRect/>
                    </a:stretch>
                  </pic:blipFill>
                  <pic:spPr>
                    <a:xfrm>
                      <a:off x="0" y="0"/>
                      <a:ext cx="2630170" cy="650875"/>
                    </a:xfrm>
                    <a:prstGeom prst="rect">
                      <a:avLst/>
                    </a:prstGeom>
                    <a:noFill/>
                    <a:ln w="9525">
                      <a:noFill/>
                    </a:ln>
                  </pic:spPr>
                </pic:pic>
              </a:graphicData>
            </a:graphic>
          </wp:inline>
        </w:drawing>
      </w:r>
      <w:r>
        <w:rPr>
          <w:rFonts w:hint="eastAsia"/>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w:t>
      </w:r>
    </w:p>
    <w:p>
      <w:pPr>
        <w:rPr>
          <w:rFonts w:ascii="微软雅黑" w:hAnsi="微软雅黑" w:eastAsia="微软雅黑" w:cs="微软雅黑"/>
          <w:b/>
          <w:bCs/>
          <w:sz w:val="28"/>
          <w:szCs w:val="28"/>
        </w:rPr>
      </w:pPr>
      <w:bookmarkStart w:id="0" w:name="_GoBack"/>
      <w:bookmarkEnd w:id="0"/>
    </w:p>
    <w:p>
      <w:pPr>
        <w:rPr>
          <w:rFonts w:ascii="微软雅黑" w:hAnsi="微软雅黑" w:eastAsia="微软雅黑" w:cs="微软雅黑"/>
          <w:b/>
          <w:bCs/>
          <w:sz w:val="52"/>
          <w:szCs w:val="52"/>
        </w:rPr>
      </w:pP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52"/>
          <w:szCs w:val="52"/>
        </w:rPr>
        <w:t>泰国公立皇家大学招生简章</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48"/>
          <w:szCs w:val="48"/>
        </w:rPr>
      </w:pPr>
      <w:r>
        <w:rPr>
          <w:rFonts w:hint="eastAsia" w:ascii="微软雅黑" w:hAnsi="微软雅黑" w:eastAsia="微软雅黑" w:cs="微软雅黑"/>
          <w:b/>
          <w:bCs/>
          <w:sz w:val="48"/>
          <w:szCs w:val="48"/>
        </w:rPr>
        <w:t>中英泰多语言全面培养，本科、硕士</w:t>
      </w:r>
      <w:r>
        <w:rPr>
          <w:rFonts w:hint="eastAsia" w:ascii="微软雅黑" w:hAnsi="微软雅黑" w:eastAsia="微软雅黑" w:cs="微软雅黑"/>
          <w:b/>
          <w:bCs/>
          <w:sz w:val="48"/>
          <w:szCs w:val="48"/>
          <w:lang w:eastAsia="zh-CN"/>
        </w:rPr>
        <w:t>、</w:t>
      </w:r>
      <w:r>
        <w:rPr>
          <w:rFonts w:hint="eastAsia" w:ascii="微软雅黑" w:hAnsi="微软雅黑" w:eastAsia="微软雅黑" w:cs="微软雅黑"/>
          <w:b/>
          <w:bCs/>
          <w:sz w:val="48"/>
          <w:szCs w:val="48"/>
          <w:lang w:val="en-US" w:eastAsia="zh-CN"/>
        </w:rPr>
        <w:t>博士</w:t>
      </w:r>
      <w:r>
        <w:rPr>
          <w:rFonts w:hint="eastAsia" w:ascii="微软雅黑" w:hAnsi="微软雅黑" w:eastAsia="微软雅黑" w:cs="微软雅黑"/>
          <w:b/>
          <w:bCs/>
          <w:sz w:val="48"/>
          <w:szCs w:val="48"/>
        </w:rPr>
        <w:t xml:space="preserve">项目 </w:t>
      </w:r>
    </w:p>
    <w:p>
      <w:pPr>
        <w:rPr>
          <w:rFonts w:ascii="微软雅黑" w:hAnsi="微软雅黑" w:eastAsia="微软雅黑" w:cs="微软雅黑"/>
          <w:b/>
          <w:bCs/>
          <w:sz w:val="30"/>
          <w:szCs w:val="30"/>
        </w:rPr>
      </w:pPr>
    </w:p>
    <w:p>
      <w:pPr>
        <w:rPr>
          <w:rFonts w:ascii="微软雅黑" w:hAnsi="微软雅黑" w:eastAsia="微软雅黑" w:cs="微软雅黑"/>
          <w:b/>
          <w:bCs/>
          <w:sz w:val="28"/>
          <w:szCs w:val="28"/>
        </w:rPr>
      </w:pPr>
      <w:r>
        <w:rPr>
          <w:rFonts w:hint="eastAsia" w:ascii="微软雅黑" w:hAnsi="微软雅黑" w:eastAsia="微软雅黑" w:cs="微软雅黑"/>
          <w:b/>
          <w:bCs/>
          <w:sz w:val="30"/>
          <w:szCs w:val="30"/>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drawing>
          <wp:inline distT="0" distB="0" distL="114300" distR="114300">
            <wp:extent cx="6820535" cy="2279015"/>
            <wp:effectExtent l="0" t="0" r="18415" b="6985"/>
            <wp:docPr id="3" name="图片 3" descr="5_T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_TH-TH"/>
                    <pic:cNvPicPr>
                      <a:picLocks noChangeAspect="1"/>
                    </pic:cNvPicPr>
                  </pic:nvPicPr>
                  <pic:blipFill>
                    <a:blip r:embed="rId6" cstate="print"/>
                    <a:stretch>
                      <a:fillRect/>
                    </a:stretch>
                  </pic:blipFill>
                  <pic:spPr>
                    <a:xfrm>
                      <a:off x="0" y="0"/>
                      <a:ext cx="6820535" cy="2279015"/>
                    </a:xfrm>
                    <a:prstGeom prst="rect">
                      <a:avLst/>
                    </a:prstGeom>
                  </pic:spPr>
                </pic:pic>
              </a:graphicData>
            </a:graphic>
          </wp:inline>
        </w:drawing>
      </w:r>
    </w:p>
    <w:p>
      <w:pPr>
        <w:spacing w:line="480" w:lineRule="exact"/>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泰国及曼谷介绍</w:t>
      </w:r>
    </w:p>
    <w:p>
      <w:pPr>
        <w:spacing w:line="48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泰国君主立宪制国家。是东南亚第二大经济体。泰国既是一个民主国家，也是一个佛教国家。90%以上民众信</w:t>
      </w:r>
    </w:p>
    <w:p>
      <w:pPr>
        <w:spacing w:line="4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仰佛教，和蔼友善举世公认“微笑佛国”。泰国民众的幸福指数在全球首屈一指。近两年，泰国连续蝉联“全球最</w:t>
      </w:r>
    </w:p>
    <w:p>
      <w:pPr>
        <w:spacing w:line="4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幸福国家”称号。</w:t>
      </w:r>
    </w:p>
    <w:p>
      <w:pPr>
        <w:spacing w:line="48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泰国教育：泰国拉玛五世国王朱拉隆功大帝早在 1887 年仿效欧美，成立了专门的教育部，负责管理国家教育和规范教育体系。泰国政府教育质量评估及其严格，在设立教育部的同时，还设立了一个与教育部平级的独立机构——国家标准与质量评估办公室（ONESQA）直接向总理和分管副总理负责，以此保证教育质量的评估标准客观公正。泰国的高等教育，在课程设置，教育方法和教育体制上都采用了欧美模式，不少课程的教材都直接从欧美引进。其高等教育质量水平以被国际教育界和考试机构所认可。</w:t>
      </w:r>
    </w:p>
    <w:p>
      <w:pPr>
        <w:spacing w:line="48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曼谷是东南亚第二大城市，是东南亚乃至全亚洲的全球性政治、经济、文化活动中心之一。联合国亚太经社委</w:t>
      </w:r>
    </w:p>
    <w:p>
      <w:pPr>
        <w:spacing w:line="480" w:lineRule="exact"/>
        <w:rPr>
          <w:rFonts w:hint="eastAsia" w:ascii="微软雅黑" w:hAnsi="微软雅黑" w:eastAsia="微软雅黑" w:cs="微软雅黑"/>
          <w:b/>
          <w:color w:val="FFFFFF"/>
          <w:sz w:val="21"/>
          <w:szCs w:val="21"/>
          <w:shd w:val="clear" w:color="auto" w:fill="271AD6"/>
        </w:rPr>
      </w:pPr>
      <w:r>
        <w:rPr>
          <w:rFonts w:hint="eastAsia" w:ascii="微软雅黑" w:hAnsi="微软雅黑" w:eastAsia="微软雅黑" w:cs="微软雅黑"/>
          <w:sz w:val="21"/>
          <w:szCs w:val="21"/>
        </w:rPr>
        <w:t>员会总部，世界银行、世界卫生组织等数百家国际机构总部和多数全球 500 强企业亚太区域总部均设在曼谷。</w:t>
      </w:r>
    </w:p>
    <w:p>
      <w:pPr>
        <w:spacing w:line="236" w:lineRule="exact"/>
        <w:rPr>
          <w:rFonts w:hint="eastAsia" w:ascii="微软雅黑" w:hAnsi="微软雅黑" w:eastAsia="微软雅黑" w:cs="微软雅黑"/>
          <w:color w:val="0000FF"/>
          <w:sz w:val="28"/>
          <w:szCs w:val="28"/>
          <w:lang w:val="en-US" w:eastAsia="zh-CN"/>
        </w:rPr>
      </w:pP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项目背景介绍</w:t>
      </w:r>
    </w:p>
    <w:p>
      <w:pPr>
        <w:spacing w:line="236" w:lineRule="exact"/>
        <w:rPr>
          <w:rFonts w:hint="eastAsia" w:ascii="微软雅黑" w:hAnsi="微软雅黑" w:eastAsia="微软雅黑" w:cs="微软雅黑"/>
          <w:color w:val="0000FF"/>
          <w:sz w:val="28"/>
          <w:szCs w:val="28"/>
          <w:lang w:val="en-US" w:eastAsia="zh-CN"/>
        </w:rPr>
      </w:pPr>
    </w:p>
    <w:p>
      <w:pPr>
        <w:spacing w:line="0" w:lineRule="atLeas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泰国是中国提出的“一带一路”建设重要国家节点，两国贸易日新月异，经济合作日进斗金。中泰两国地缘</w:t>
      </w:r>
    </w:p>
    <w:p>
      <w:pPr>
        <w:spacing w:line="225" w:lineRule="exact"/>
        <w:rPr>
          <w:rFonts w:hint="eastAsia" w:ascii="微软雅黑" w:hAnsi="微软雅黑" w:eastAsia="微软雅黑" w:cs="微软雅黑"/>
          <w:sz w:val="21"/>
          <w:szCs w:val="21"/>
        </w:rPr>
      </w:pPr>
    </w:p>
    <w:p>
      <w:pPr>
        <w:spacing w:line="0" w:lineRule="atLeast"/>
        <w:rPr>
          <w:rFonts w:hint="eastAsia" w:ascii="微软雅黑" w:hAnsi="微软雅黑" w:eastAsia="微软雅黑" w:cs="微软雅黑"/>
          <w:sz w:val="21"/>
          <w:szCs w:val="21"/>
        </w:rPr>
      </w:pPr>
      <w:r>
        <w:rPr>
          <w:rFonts w:hint="eastAsia" w:ascii="微软雅黑" w:hAnsi="微软雅黑" w:eastAsia="微软雅黑" w:cs="微软雅黑"/>
          <w:sz w:val="21"/>
          <w:szCs w:val="21"/>
        </w:rPr>
        <w:t>相近，血缘相溶，文化相通，有着数百年的传统友谊，双边贸易和投资领域都是紧密的合作伙伴，两国的友好关系</w:t>
      </w:r>
    </w:p>
    <w:p>
      <w:pPr>
        <w:spacing w:line="241" w:lineRule="exact"/>
        <w:rPr>
          <w:rFonts w:hint="eastAsia" w:ascii="微软雅黑" w:hAnsi="微软雅黑" w:eastAsia="微软雅黑" w:cs="微软雅黑"/>
          <w:sz w:val="21"/>
          <w:szCs w:val="21"/>
        </w:rPr>
      </w:pPr>
    </w:p>
    <w:p>
      <w:pPr>
        <w:spacing w:line="0" w:lineRule="atLeast"/>
        <w:rPr>
          <w:rFonts w:hint="eastAsia" w:ascii="微软雅黑" w:hAnsi="微软雅黑" w:eastAsia="微软雅黑" w:cs="微软雅黑"/>
          <w:sz w:val="21"/>
          <w:szCs w:val="21"/>
        </w:rPr>
      </w:pPr>
      <w:r>
        <w:rPr>
          <w:rFonts w:hint="eastAsia" w:ascii="微软雅黑" w:hAnsi="微软雅黑" w:eastAsia="微软雅黑" w:cs="微软雅黑"/>
          <w:sz w:val="21"/>
          <w:szCs w:val="21"/>
        </w:rPr>
        <w:t>长期“领跑”中国—东盟乃至亚洲的国际产能合作和经贸发展。</w:t>
      </w:r>
    </w:p>
    <w:p>
      <w:pPr>
        <w:spacing w:line="225" w:lineRule="exact"/>
        <w:rPr>
          <w:rFonts w:hint="eastAsia" w:ascii="微软雅黑" w:hAnsi="微软雅黑" w:eastAsia="微软雅黑" w:cs="微软雅黑"/>
          <w:sz w:val="21"/>
          <w:szCs w:val="21"/>
        </w:rPr>
      </w:pPr>
    </w:p>
    <w:p>
      <w:pPr>
        <w:spacing w:line="0" w:lineRule="atLeast"/>
        <w:ind w:left="420"/>
        <w:rPr>
          <w:rFonts w:hint="eastAsia" w:ascii="微软雅黑" w:hAnsi="微软雅黑" w:eastAsia="微软雅黑" w:cs="微软雅黑"/>
          <w:sz w:val="21"/>
          <w:szCs w:val="21"/>
        </w:rPr>
      </w:pPr>
      <w:r>
        <w:rPr>
          <w:rFonts w:hint="eastAsia" w:ascii="微软雅黑" w:hAnsi="微软雅黑" w:eastAsia="微软雅黑" w:cs="微软雅黑"/>
          <w:sz w:val="21"/>
          <w:szCs w:val="21"/>
        </w:rPr>
        <w:t>中国─东盟自贸区升级全面实施，预计到 2020 年中国与东盟贸易额达到 10000 亿美元、新增双向投资 1500</w:t>
      </w:r>
    </w:p>
    <w:p>
      <w:pPr>
        <w:spacing w:line="216" w:lineRule="exact"/>
        <w:rPr>
          <w:rFonts w:hint="eastAsia" w:ascii="微软雅黑" w:hAnsi="微软雅黑" w:eastAsia="微软雅黑" w:cs="微软雅黑"/>
          <w:sz w:val="21"/>
          <w:szCs w:val="21"/>
        </w:rPr>
      </w:pPr>
    </w:p>
    <w:p>
      <w:pPr>
        <w:spacing w:line="0" w:lineRule="atLeast"/>
        <w:rPr>
          <w:rFonts w:hint="eastAsia" w:ascii="微软雅黑" w:hAnsi="微软雅黑" w:eastAsia="微软雅黑" w:cs="微软雅黑"/>
          <w:sz w:val="21"/>
          <w:szCs w:val="21"/>
        </w:rPr>
      </w:pPr>
      <w:r>
        <w:rPr>
          <w:rFonts w:hint="eastAsia" w:ascii="微软雅黑" w:hAnsi="微软雅黑" w:eastAsia="微软雅黑" w:cs="微软雅黑"/>
          <w:sz w:val="21"/>
          <w:szCs w:val="21"/>
        </w:rPr>
        <w:t>亿美元。中国—东盟双方共同推进泛北部湾经济合作、澜沧江—湄公河合作、中国—中南半岛经济走廊建设，中泰</w:t>
      </w:r>
    </w:p>
    <w:p>
      <w:pPr>
        <w:spacing w:line="225" w:lineRule="exact"/>
        <w:rPr>
          <w:rFonts w:hint="eastAsia" w:ascii="微软雅黑" w:hAnsi="微软雅黑" w:eastAsia="微软雅黑" w:cs="微软雅黑"/>
          <w:sz w:val="21"/>
          <w:szCs w:val="21"/>
        </w:rPr>
      </w:pPr>
    </w:p>
    <w:p>
      <w:pPr>
        <w:spacing w:line="0" w:lineRule="atLeast"/>
        <w:rPr>
          <w:rFonts w:hint="eastAsia" w:ascii="微软雅黑" w:hAnsi="微软雅黑" w:eastAsia="微软雅黑" w:cs="微软雅黑"/>
          <w:b/>
          <w:bCs/>
          <w:color w:val="0000FF"/>
          <w:sz w:val="21"/>
          <w:szCs w:val="21"/>
        </w:rPr>
      </w:pPr>
      <w:r>
        <w:rPr>
          <w:rFonts w:hint="eastAsia" w:ascii="微软雅黑" w:hAnsi="微软雅黑" w:eastAsia="微软雅黑" w:cs="微软雅黑"/>
          <w:sz w:val="21"/>
          <w:szCs w:val="21"/>
        </w:rPr>
        <w:t>两国互相投资额度和企业数量急剧倍增，这都将为赴泰留学国际人才东盟地区就业提供了广阔的发展空间。</w:t>
      </w: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宣素那他皇家大学介绍</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宣素那他皇家大学始建于1937年，是以拉玛五世国王皇后的名字命名的泰国一流国立大学。在全泰国38所皇家大学中，宣素那他皇家大学连续七年排名第一</w:t>
      </w:r>
      <w:r>
        <w:rPr>
          <w:rFonts w:hint="eastAsia" w:ascii="微软雅黑" w:hAnsi="微软雅黑" w:eastAsia="微软雅黑" w:cs="微软雅黑"/>
          <w:sz w:val="21"/>
          <w:szCs w:val="21"/>
          <w:lang w:val="zh-TW" w:eastAsia="zh-CN"/>
        </w:rPr>
        <w:t>，</w:t>
      </w:r>
      <w:r>
        <w:rPr>
          <w:rFonts w:hint="eastAsia" w:ascii="微软雅黑" w:hAnsi="微软雅黑" w:eastAsia="微软雅黑" w:cs="微软雅黑"/>
          <w:sz w:val="21"/>
          <w:szCs w:val="21"/>
          <w:lang w:val="zh-TW" w:eastAsia="zh-TW"/>
        </w:rPr>
        <w:t>大学设有12个</w:t>
      </w:r>
      <w:r>
        <w:rPr>
          <w:rFonts w:hint="eastAsia" w:ascii="微软雅黑" w:hAnsi="微软雅黑" w:eastAsia="微软雅黑" w:cs="微软雅黑"/>
          <w:sz w:val="21"/>
          <w:szCs w:val="21"/>
          <w:lang w:val="en-US" w:eastAsia="zh-CN"/>
        </w:rPr>
        <w:t>院系</w:t>
      </w:r>
      <w:r>
        <w:rPr>
          <w:rFonts w:hint="eastAsia" w:ascii="微软雅黑" w:hAnsi="微软雅黑" w:eastAsia="微软雅黑" w:cs="微软雅黑"/>
          <w:sz w:val="21"/>
          <w:szCs w:val="21"/>
          <w:lang w:val="zh-TW" w:eastAsia="zh-TW"/>
        </w:rPr>
        <w:t>以及附属小学和附属中学。大学现有全日制在校生2</w:t>
      </w:r>
      <w:r>
        <w:rPr>
          <w:rFonts w:hint="eastAsia" w:ascii="微软雅黑" w:hAnsi="微软雅黑" w:eastAsia="微软雅黑" w:cs="微软雅黑"/>
          <w:sz w:val="21"/>
          <w:szCs w:val="21"/>
          <w:lang w:val="zh-CN" w:eastAsia="zh-TW"/>
        </w:rPr>
        <w:t>9</w:t>
      </w:r>
      <w:r>
        <w:rPr>
          <w:rFonts w:hint="eastAsia" w:ascii="微软雅黑" w:hAnsi="微软雅黑" w:eastAsia="微软雅黑" w:cs="微软雅黑"/>
          <w:sz w:val="21"/>
          <w:szCs w:val="21"/>
          <w:lang w:val="zh-TW" w:eastAsia="zh-TW"/>
        </w:rPr>
        <w:t>000余名，本科、硕士、博士专业学位学科120</w:t>
      </w:r>
      <w:r>
        <w:rPr>
          <w:rFonts w:hint="eastAsia" w:ascii="微软雅黑" w:hAnsi="微软雅黑" w:eastAsia="微软雅黑" w:cs="微软雅黑"/>
          <w:sz w:val="21"/>
          <w:szCs w:val="21"/>
          <w:lang w:val="en-US" w:eastAsia="zh-CN"/>
        </w:rPr>
        <w:t>余</w:t>
      </w:r>
      <w:r>
        <w:rPr>
          <w:rFonts w:hint="eastAsia" w:ascii="微软雅黑" w:hAnsi="微软雅黑" w:eastAsia="微软雅黑" w:cs="微软雅黑"/>
          <w:sz w:val="21"/>
          <w:szCs w:val="21"/>
          <w:lang w:val="zh-TW" w:eastAsia="zh-TW"/>
        </w:rPr>
        <w:t>个。大学有五大校区，主校区坐落在首都曼谷市中心紧邻皇宫的宣素那他皇家园林，另外四个校区分别是佛统校区、那朗校区、也功校区和梧闻校区。宣素那他皇家大学现任主席功·塔帕朗西曾任泰国政府国务院副总理。“中泰是兄弟”、“中泰一家亲”是功·塔帕朗西主席会讲的中文词句里使用最频繁、最熟练的句子。</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zh-TW" w:eastAsia="zh-CN"/>
        </w:rPr>
      </w:pP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大学优势</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zh-TW"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zh-TW" w:eastAsia="zh-TW"/>
        </w:rPr>
        <w:t>宣素那他皇家大学是泰国国立一流名校，师资力量雄厚</w:t>
      </w:r>
      <w:r>
        <w:rPr>
          <w:rFonts w:hint="eastAsia" w:ascii="微软雅黑" w:hAnsi="微软雅黑" w:eastAsia="微软雅黑" w:cs="微软雅黑"/>
          <w:sz w:val="21"/>
          <w:szCs w:val="21"/>
          <w:lang w:val="zh-TW" w:eastAsia="zh-CN"/>
        </w:rPr>
        <w:t>。</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zh-TW" w:eastAsia="zh-TW"/>
        </w:rPr>
        <w:t>部分专业采用英语授课为主，免雅思托福成绩，成绩优异者可获得奖学金。</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zh-TW" w:eastAsia="zh-TW"/>
        </w:rPr>
        <w:t>宣素那他皇家大学主校区位于曼谷市中心，共五十多栋建筑，坐落在拉玛五世皇家园林历史底蕴深，学术氛围浓。中国留学生全程在主校区就读，交通便利。</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TW" w:eastAsia="zh-TW"/>
        </w:rPr>
        <w:t>主校区紧邻皇宫，校内校外均处在皇家卫队保卫区。</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zh-TW" w:eastAsia="zh-TW"/>
        </w:rPr>
        <w:t>宣素那他皇家大学建有</w:t>
      </w:r>
      <w:r>
        <w:rPr>
          <w:rFonts w:hint="eastAsia" w:ascii="微软雅黑" w:hAnsi="微软雅黑" w:eastAsia="微软雅黑" w:cs="微软雅黑"/>
          <w:sz w:val="21"/>
          <w:szCs w:val="21"/>
          <w:lang w:val="en-US" w:eastAsia="zh-CN"/>
        </w:rPr>
        <w:t>校内</w:t>
      </w:r>
      <w:r>
        <w:rPr>
          <w:rFonts w:hint="eastAsia" w:ascii="微软雅黑" w:hAnsi="微软雅黑" w:eastAsia="微软雅黑" w:cs="微软雅黑"/>
          <w:sz w:val="21"/>
          <w:szCs w:val="21"/>
          <w:lang w:val="zh-TW" w:eastAsia="zh-TW"/>
        </w:rPr>
        <w:t>三星级酒店，</w:t>
      </w:r>
      <w:r>
        <w:rPr>
          <w:rFonts w:hint="eastAsia" w:ascii="微软雅黑" w:hAnsi="微软雅黑" w:eastAsia="微软雅黑" w:cs="微软雅黑"/>
          <w:sz w:val="21"/>
          <w:szCs w:val="21"/>
          <w:lang w:val="en-US" w:eastAsia="zh-CN"/>
        </w:rPr>
        <w:t>可提供学生</w:t>
      </w:r>
      <w:r>
        <w:rPr>
          <w:rFonts w:hint="eastAsia" w:ascii="微软雅黑" w:hAnsi="微软雅黑" w:eastAsia="微软雅黑" w:cs="微软雅黑"/>
          <w:sz w:val="21"/>
          <w:szCs w:val="21"/>
          <w:lang w:val="zh-TW" w:eastAsia="zh-TW"/>
        </w:rPr>
        <w:t>校内住宿</w:t>
      </w:r>
      <w:r>
        <w:rPr>
          <w:rFonts w:hint="eastAsia" w:ascii="微软雅黑" w:hAnsi="微软雅黑" w:eastAsia="微软雅黑" w:cs="微软雅黑"/>
          <w:sz w:val="21"/>
          <w:szCs w:val="21"/>
          <w:lang w:val="en-US" w:eastAsia="zh-CN"/>
        </w:rPr>
        <w:t>需求</w:t>
      </w:r>
      <w:r>
        <w:rPr>
          <w:rFonts w:hint="eastAsia" w:ascii="微软雅黑" w:hAnsi="微软雅黑" w:eastAsia="微软雅黑" w:cs="微软雅黑"/>
          <w:sz w:val="21"/>
          <w:szCs w:val="21"/>
          <w:lang w:val="zh-TW" w:eastAsia="zh-TW"/>
        </w:rPr>
        <w:t>，</w:t>
      </w:r>
      <w:r>
        <w:rPr>
          <w:rFonts w:hint="eastAsia" w:ascii="微软雅黑" w:hAnsi="微软雅黑" w:eastAsia="微软雅黑" w:cs="微软雅黑"/>
          <w:sz w:val="21"/>
          <w:szCs w:val="21"/>
          <w:lang w:val="en-US" w:eastAsia="zh-CN"/>
        </w:rPr>
        <w:t>校内酒店配有</w:t>
      </w:r>
      <w:r>
        <w:rPr>
          <w:rFonts w:hint="eastAsia" w:ascii="微软雅黑" w:hAnsi="微软雅黑" w:eastAsia="微软雅黑" w:cs="微软雅黑"/>
          <w:sz w:val="21"/>
          <w:szCs w:val="21"/>
          <w:lang w:val="zh-TW" w:eastAsia="zh-TW"/>
        </w:rPr>
        <w:t>游泳馆、健身房</w:t>
      </w:r>
      <w:r>
        <w:rPr>
          <w:rFonts w:hint="eastAsia" w:ascii="微软雅黑" w:hAnsi="微软雅黑" w:eastAsia="微软雅黑" w:cs="微软雅黑"/>
          <w:sz w:val="21"/>
          <w:szCs w:val="21"/>
          <w:lang w:val="en-US" w:eastAsia="zh-CN"/>
        </w:rPr>
        <w:t>以及自助早餐服务</w:t>
      </w:r>
      <w:r>
        <w:rPr>
          <w:rFonts w:hint="eastAsia" w:ascii="微软雅黑" w:hAnsi="微软雅黑" w:eastAsia="微软雅黑" w:cs="微软雅黑"/>
          <w:sz w:val="21"/>
          <w:szCs w:val="21"/>
          <w:lang w:val="zh-TW" w:eastAsia="zh-TW"/>
        </w:rPr>
        <w:t>。</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6、 </w:t>
      </w:r>
      <w:r>
        <w:rPr>
          <w:rFonts w:hint="eastAsia" w:ascii="微软雅黑" w:hAnsi="微软雅黑" w:eastAsia="微软雅黑" w:cs="微软雅黑"/>
          <w:sz w:val="21"/>
          <w:szCs w:val="21"/>
          <w:lang w:val="zh-TW" w:eastAsia="zh-TW"/>
        </w:rPr>
        <w:t>校内食堂餐饮品种丰富齐全，全天冷气开放</w:t>
      </w:r>
      <w:r>
        <w:rPr>
          <w:rFonts w:hint="eastAsia" w:ascii="微软雅黑" w:hAnsi="微软雅黑" w:eastAsia="微软雅黑" w:cs="微软雅黑"/>
          <w:sz w:val="21"/>
          <w:szCs w:val="21"/>
          <w:lang w:val="zh-TW" w:eastAsia="zh-CN"/>
        </w:rPr>
        <w:t>，</w:t>
      </w:r>
      <w:r>
        <w:rPr>
          <w:rFonts w:hint="eastAsia" w:ascii="微软雅黑" w:hAnsi="微软雅黑" w:eastAsia="微软雅黑" w:cs="微软雅黑"/>
          <w:sz w:val="21"/>
          <w:szCs w:val="21"/>
          <w:lang w:val="en-US" w:eastAsia="zh-CN"/>
        </w:rPr>
        <w:t>校内图书馆、运动场馆设施齐全</w:t>
      </w:r>
      <w:r>
        <w:rPr>
          <w:rFonts w:hint="eastAsia" w:ascii="微软雅黑" w:hAnsi="微软雅黑" w:eastAsia="微软雅黑" w:cs="微软雅黑"/>
          <w:sz w:val="21"/>
          <w:szCs w:val="21"/>
          <w:lang w:val="zh-TW" w:eastAsia="zh-TW"/>
        </w:rPr>
        <w:t>。</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val="zh-TW" w:eastAsia="zh-TW"/>
        </w:rPr>
        <w:t>有中英泰三语辅导员，并提供接机报到、课程注册学习督导、签证换领、带领就医等管理服务。</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lang w:val="zh-TW" w:eastAsia="zh-TW"/>
        </w:rPr>
        <w:t>从申请到毕业、国外及回国后教育部学历学位认证、回国就业推荐一站式服务。</w:t>
      </w:r>
    </w:p>
    <w:p>
      <w:pPr>
        <w:spacing w:line="360" w:lineRule="auto"/>
        <w:rPr>
          <w:rFonts w:ascii="Times New Roman" w:hAnsi="Times New Roman" w:eastAsia="Times New Roman" w:cs="Times New Roman"/>
          <w:sz w:val="24"/>
          <w:szCs w:val="24"/>
          <w:shd w:val="clear" w:color="auto" w:fill="FFFFFF"/>
          <w:lang w:val="zh-TW" w:eastAsia="zh-TW"/>
        </w:rPr>
      </w:pP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毕业所获学历回国后中国教育部认证</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宣素那他皇家大学是中国教育部涉外监管信息网推荐留学院校。按首字母排序序号：53</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b/>
          <w:bCs/>
          <w:color w:val="FFFFFF" w:themeColor="background1"/>
          <w:sz w:val="21"/>
          <w:szCs w:val="21"/>
          <w:highlight w:val="blue"/>
        </w:rPr>
      </w:pPr>
      <w:r>
        <w:rPr>
          <w:rFonts w:hint="eastAsia" w:ascii="微软雅黑" w:hAnsi="微软雅黑" w:eastAsia="微软雅黑" w:cs="微软雅黑"/>
          <w:sz w:val="21"/>
          <w:szCs w:val="21"/>
        </w:rPr>
        <w:t>依据2007年、2010年中泰两国教育部分别正式签署的《泰王国教育部与中华人民共和国教育部关于相互承认高等教育学历和学位的协定》适用范围列明，凡是两国教育部批准的大学颁发的文凭全都互相承认。</w:t>
      </w:r>
    </w:p>
    <w:p>
      <w:pPr>
        <w:tabs>
          <w:tab w:val="left" w:pos="7140"/>
        </w:tabs>
        <w:rPr>
          <w:rFonts w:hint="eastAsia" w:ascii="微软雅黑" w:hAnsi="微软雅黑" w:eastAsia="微软雅黑" w:cs="微软雅黑"/>
          <w:color w:val="000000" w:themeColor="text1"/>
          <w:sz w:val="21"/>
          <w:szCs w:val="21"/>
          <w:lang w:val="en-US" w:eastAsia="zh-CN"/>
        </w:rPr>
      </w:pPr>
      <w:r>
        <w:rPr>
          <w:sz w:val="21"/>
        </w:rPr>
        <w:pict>
          <v:line id="_x0000_s1031" o:spid="_x0000_s1031" o:spt="20" style="position:absolute;left:0pt;flip:y;margin-left:-1.3pt;margin-top:250.35pt;height:0.5pt;width:227.6pt;z-index:251660288;mso-width-relative:page;mso-height-relative:page;" fillcolor="#FFFFFF" filled="t" stroked="t" coordsize="21600,21600">
            <v:path arrowok="t"/>
            <v:fill on="t" color2="#FFFFFF" focussize="0,0"/>
            <v:stroke color="#000000"/>
            <v:imagedata o:title=""/>
            <o:lock v:ext="edit" aspectratio="f"/>
          </v:line>
        </w:pict>
      </w:r>
      <w:r>
        <w:rPr>
          <w:sz w:val="21"/>
        </w:rPr>
        <w:pict>
          <v:line id="_x0000_s1030" o:spid="_x0000_s1030" o:spt="20" style="position:absolute;left:0pt;margin-left:225.25pt;margin-top:19.65pt;height:227.1pt;width:0.05pt;z-index:251659264;mso-width-relative:page;mso-height-relative:page;" fillcolor="#FFFFFF" filled="t" stroked="t" coordsize="21600,21600">
            <v:path arrowok="t"/>
            <v:fill on="t" color2="#FFFFFF" focussize="0,0"/>
            <v:stroke color="#000000"/>
            <v:imagedata o:title=""/>
            <o:lock v:ext="edit" aspectratio="f"/>
          </v:line>
        </w:pict>
      </w:r>
      <w:r>
        <w:rPr>
          <w:sz w:val="21"/>
        </w:rPr>
        <w:pict>
          <v:line id="_x0000_s1029" o:spid="_x0000_s1029" o:spt="20" style="position:absolute;left:0pt;flip:x;margin-left:-0.25pt;margin-top:16.55pt;height:235.85pt;width:1.55pt;z-index:251658240;mso-width-relative:page;mso-height-relative:page;" fillcolor="#FFFFFF" filled="t" stroked="t" coordsize="21600,21600">
            <v:path arrowok="t"/>
            <v:fill on="t" color2="#FFFFFF" focussize="0,0"/>
            <v:stroke color="#000000"/>
            <v:imagedata o:title=""/>
            <o:lock v:ext="edit" aspectratio="f"/>
          </v:line>
        </w:pict>
      </w:r>
      <w:r>
        <w:rPr>
          <w:rFonts w:hint="eastAsia" w:ascii="微软雅黑" w:hAnsi="微软雅黑" w:eastAsia="微软雅黑" w:cs="微软雅黑"/>
          <w:color w:val="000000" w:themeColor="text1"/>
          <w:sz w:val="21"/>
          <w:szCs w:val="21"/>
        </w:rPr>
        <w:drawing>
          <wp:inline distT="0" distB="0" distL="114300" distR="114300">
            <wp:extent cx="2861945" cy="3121025"/>
            <wp:effectExtent l="0" t="0" r="14605" b="3175"/>
            <wp:docPr id="1" name="图片 1" descr="涉外监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涉外监管网"/>
                    <pic:cNvPicPr>
                      <a:picLocks noChangeAspect="1"/>
                    </pic:cNvPicPr>
                  </pic:nvPicPr>
                  <pic:blipFill>
                    <a:blip r:embed="rId7" cstate="print"/>
                    <a:stretch>
                      <a:fillRect/>
                    </a:stretch>
                  </pic:blipFill>
                  <pic:spPr>
                    <a:xfrm>
                      <a:off x="0" y="0"/>
                      <a:ext cx="2861945" cy="3121025"/>
                    </a:xfrm>
                    <a:prstGeom prst="rect">
                      <a:avLst/>
                    </a:prstGeom>
                  </pic:spPr>
                </pic:pic>
              </a:graphicData>
            </a:graphic>
          </wp:inline>
        </w:drawing>
      </w:r>
    </w:p>
    <w:p>
      <w:pPr>
        <w:spacing w:line="240" w:lineRule="auto"/>
        <w:rPr>
          <w:rFonts w:hint="eastAsia" w:ascii="微软雅黑" w:hAnsi="微软雅黑" w:eastAsia="微软雅黑" w:cs="微软雅黑"/>
          <w:color w:val="0000FF"/>
          <w:sz w:val="28"/>
          <w:szCs w:val="28"/>
          <w:lang w:val="zh-TW" w:eastAsia="zh-TW"/>
        </w:rPr>
      </w:pPr>
      <w:r>
        <w:rPr>
          <w:rFonts w:hint="eastAsia" w:ascii="微软雅黑" w:hAnsi="微软雅黑" w:eastAsia="微软雅黑" w:cs="微软雅黑"/>
          <w:color w:val="0000FF"/>
          <w:sz w:val="28"/>
          <w:szCs w:val="28"/>
          <w:lang w:val="zh-TW" w:eastAsia="zh-TW"/>
        </w:rPr>
        <w:t>关于留学回国人员的政策支持</w:t>
      </w:r>
    </w:p>
    <w:p>
      <w:pPr>
        <w:tabs>
          <w:tab w:val="left" w:pos="7140"/>
        </w:tabs>
        <w:spacing w:beforeLines="50" w:line="420" w:lineRule="exact"/>
        <w:ind w:firstLine="420" w:firstLineChars="2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留学生毕业后不但享受国内普通高校毕业生待遇，还可享受海归人才就业落户、政府留学人员创业扶持资金、购买免税车等政策。可按国家组织人事部门的考核入档案，是报考公务员和在企事业单位升职的重要依据。</w:t>
      </w:r>
    </w:p>
    <w:p>
      <w:pPr>
        <w:tabs>
          <w:tab w:val="left" w:pos="7140"/>
        </w:tabs>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详见中国留学网：</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"http://www.cscse.edu.cn/publish/portal0/tab112/default.htm" </w:instrText>
      </w:r>
      <w:r>
        <w:rPr>
          <w:rFonts w:hint="eastAsia" w:ascii="微软雅黑" w:hAnsi="微软雅黑" w:eastAsia="微软雅黑" w:cs="微软雅黑"/>
          <w:sz w:val="21"/>
          <w:szCs w:val="21"/>
        </w:rPr>
        <w:fldChar w:fldCharType="separate"/>
      </w:r>
      <w:r>
        <w:rPr>
          <w:rStyle w:val="10"/>
          <w:rFonts w:hint="eastAsia" w:ascii="微软雅黑" w:hAnsi="微软雅黑" w:eastAsia="微软雅黑" w:cs="微软雅黑"/>
          <w:color w:val="000000" w:themeColor="text1"/>
          <w:sz w:val="21"/>
          <w:szCs w:val="21"/>
        </w:rPr>
        <w:t>http://www.cscse.edu.cn/publish/portal0/tab112/default.htm</w:t>
      </w:r>
      <w:r>
        <w:rPr>
          <w:rStyle w:val="10"/>
          <w:rFonts w:hint="eastAsia" w:ascii="微软雅黑" w:hAnsi="微软雅黑" w:eastAsia="微软雅黑" w:cs="微软雅黑"/>
          <w:color w:val="000000" w:themeColor="text1"/>
          <w:sz w:val="21"/>
          <w:szCs w:val="21"/>
        </w:rPr>
        <w:fldChar w:fldCharType="end"/>
      </w:r>
    </w:p>
    <w:p>
      <w:pPr>
        <w:tabs>
          <w:tab w:val="left" w:pos="7140"/>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6094730" cy="1819910"/>
            <wp:effectExtent l="0" t="0" r="127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6094730" cy="1819910"/>
                    </a:xfrm>
                    <a:prstGeom prst="rect">
                      <a:avLst/>
                    </a:prstGeom>
                    <a:noFill/>
                    <a:ln w="9525">
                      <a:noFill/>
                    </a:ln>
                  </pic:spPr>
                </pic:pic>
              </a:graphicData>
            </a:graphic>
          </wp:inline>
        </w:drawing>
      </w:r>
    </w:p>
    <w:p>
      <w:pPr>
        <w:tabs>
          <w:tab w:val="left" w:pos="7140"/>
        </w:tabs>
        <w:rPr>
          <w:rFonts w:hint="eastAsia" w:ascii="微软雅黑" w:hAnsi="微软雅黑" w:eastAsia="微软雅黑" w:cs="微软雅黑"/>
          <w:sz w:val="21"/>
          <w:szCs w:val="21"/>
        </w:rPr>
      </w:pPr>
    </w:p>
    <w:p>
      <w:pPr>
        <w:spacing w:line="240" w:lineRule="auto"/>
        <w:rPr>
          <w:rFonts w:hint="eastAsia" w:ascii="微软雅黑" w:hAnsi="微软雅黑" w:eastAsia="微软雅黑" w:cs="微软雅黑"/>
          <w:color w:val="0000FF"/>
          <w:sz w:val="28"/>
          <w:szCs w:val="28"/>
          <w:lang w:val="zh-CN" w:eastAsia="zh-CN"/>
        </w:rPr>
      </w:pPr>
      <w:r>
        <w:rPr>
          <w:rFonts w:hint="eastAsia" w:ascii="微软雅黑" w:hAnsi="微软雅黑" w:eastAsia="微软雅黑" w:cs="微软雅黑"/>
          <w:color w:val="0000FF"/>
          <w:sz w:val="28"/>
          <w:szCs w:val="28"/>
          <w:lang w:val="zh-TW" w:eastAsia="zh-TW"/>
        </w:rPr>
        <w:t>中英双语专业设置</w:t>
      </w:r>
    </w:p>
    <w:tbl>
      <w:tblPr>
        <w:tblStyle w:val="7"/>
        <w:tblpPr w:leftFromText="180" w:rightFromText="180" w:vertAnchor="text" w:horzAnchor="page" w:tblpX="967" w:tblpY="190"/>
        <w:tblOverlap w:val="never"/>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580"/>
        <w:gridCol w:w="688"/>
        <w:gridCol w:w="709"/>
        <w:gridCol w:w="708"/>
        <w:gridCol w:w="1270"/>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3115" w:type="dxa"/>
            <w:gridSpan w:val="2"/>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宣素那他皇家大学学位及专业</w:t>
            </w:r>
          </w:p>
        </w:tc>
        <w:tc>
          <w:tcPr>
            <w:tcW w:w="68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学制</w:t>
            </w:r>
          </w:p>
        </w:tc>
        <w:tc>
          <w:tcPr>
            <w:tcW w:w="709"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学习时间</w:t>
            </w:r>
          </w:p>
        </w:tc>
        <w:tc>
          <w:tcPr>
            <w:tcW w:w="70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招生计划</w:t>
            </w:r>
          </w:p>
        </w:tc>
        <w:tc>
          <w:tcPr>
            <w:tcW w:w="127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招生对象</w:t>
            </w:r>
          </w:p>
        </w:tc>
        <w:tc>
          <w:tcPr>
            <w:tcW w:w="296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收费标准泰铢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1535"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管理学硕士</w:t>
            </w:r>
          </w:p>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（MM）</w:t>
            </w:r>
          </w:p>
        </w:tc>
        <w:tc>
          <w:tcPr>
            <w:tcW w:w="158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创新管理</w:t>
            </w:r>
          </w:p>
        </w:tc>
        <w:tc>
          <w:tcPr>
            <w:tcW w:w="68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2年</w:t>
            </w:r>
          </w:p>
        </w:tc>
        <w:tc>
          <w:tcPr>
            <w:tcW w:w="709"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w:t>
            </w:r>
          </w:p>
        </w:tc>
        <w:tc>
          <w:tcPr>
            <w:tcW w:w="70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30人</w:t>
            </w:r>
          </w:p>
        </w:tc>
        <w:tc>
          <w:tcPr>
            <w:tcW w:w="127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应往届本科毕业生</w:t>
            </w:r>
          </w:p>
        </w:tc>
        <w:tc>
          <w:tcPr>
            <w:tcW w:w="2960" w:type="dxa"/>
          </w:tcPr>
          <w:p>
            <w:pPr>
              <w:tabs>
                <w:tab w:val="left" w:pos="7140"/>
              </w:tabs>
              <w:spacing w:line="48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二年硕士全部学杂费60万泰铢，约合人民币13万元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535"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管理学博士</w:t>
            </w:r>
          </w:p>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（PH.d）</w:t>
            </w:r>
          </w:p>
        </w:tc>
        <w:tc>
          <w:tcPr>
            <w:tcW w:w="158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创新管理</w:t>
            </w:r>
          </w:p>
        </w:tc>
        <w:tc>
          <w:tcPr>
            <w:tcW w:w="68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3年</w:t>
            </w:r>
          </w:p>
        </w:tc>
        <w:tc>
          <w:tcPr>
            <w:tcW w:w="709"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2年</w:t>
            </w:r>
          </w:p>
        </w:tc>
        <w:tc>
          <w:tcPr>
            <w:tcW w:w="708"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15人</w:t>
            </w:r>
          </w:p>
        </w:tc>
        <w:tc>
          <w:tcPr>
            <w:tcW w:w="1270" w:type="dxa"/>
          </w:tcPr>
          <w:p>
            <w:pPr>
              <w:tabs>
                <w:tab w:val="left" w:pos="7140"/>
              </w:tabs>
              <w:spacing w:line="4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应往届硕士毕业生</w:t>
            </w:r>
          </w:p>
        </w:tc>
        <w:tc>
          <w:tcPr>
            <w:tcW w:w="2960" w:type="dxa"/>
          </w:tcPr>
          <w:p>
            <w:pPr>
              <w:tabs>
                <w:tab w:val="left" w:pos="7140"/>
              </w:tabs>
              <w:spacing w:line="48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三年博士学杂费总计115万泰铢，约合人民币25万元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450" w:type="dxa"/>
            <w:gridSpan w:val="7"/>
          </w:tcPr>
          <w:p>
            <w:pPr>
              <w:tabs>
                <w:tab w:val="left" w:pos="7140"/>
              </w:tabs>
              <w:spacing w:line="48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w:t>
            </w:r>
            <w:r>
              <w:rPr>
                <w:rFonts w:hint="eastAsia" w:ascii="宋体" w:hAnsi="宋体" w:eastAsia="宋体" w:cs="宋体"/>
                <w:sz w:val="21"/>
                <w:szCs w:val="21"/>
                <w:shd w:val="clear" w:color="auto" w:fill="FFFFFF"/>
                <w:lang w:val="en-US" w:eastAsia="zh-CN"/>
              </w:rPr>
              <w:t>缴纳语言课程费：2.8万泰铢，约合人民币6000元,包含60课时的英语和60课时的泰语费用。</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b/>
          <w:bCs/>
          <w:color w:val="0000FF"/>
          <w:sz w:val="21"/>
          <w:szCs w:val="21"/>
          <w:lang w:val="zh-CN"/>
        </w:rPr>
      </w:pPr>
    </w:p>
    <w:p>
      <w:pPr>
        <w:tabs>
          <w:tab w:val="left" w:pos="7140"/>
        </w:tabs>
        <w:spacing w:line="480" w:lineRule="exact"/>
        <w:rPr>
          <w:rFonts w:hint="eastAsia" w:ascii="微软雅黑" w:hAnsi="微软雅黑" w:eastAsia="微软雅黑" w:cs="微软雅黑"/>
          <w:b/>
          <w:bCs/>
          <w:color w:val="0000FF"/>
          <w:sz w:val="21"/>
          <w:szCs w:val="21"/>
          <w:lang w:val="zh-CN"/>
        </w:rPr>
      </w:pP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CN" w:eastAsia="zh-TW"/>
        </w:rPr>
        <w:t>费用说明：</w:t>
      </w:r>
      <w:r>
        <w:rPr>
          <w:rFonts w:hint="eastAsia" w:ascii="微软雅黑" w:hAnsi="微软雅黑" w:eastAsia="微软雅黑" w:cs="微软雅黑"/>
          <w:color w:val="000000" w:themeColor="text1"/>
          <w:sz w:val="21"/>
          <w:szCs w:val="21"/>
          <w:lang w:val="zh-CN" w:eastAsia="zh-TW"/>
        </w:rPr>
        <w:t>包含学费、申请费、注册费、国际学生管理费、论文指导费、图书馆资源费、学生境内外服务费。不包含：签证费、公证费、双认证费、教材费、保险费用、课程重修、教学中的外出参观实习、教学之外的英语补习、食宿费、境内外学历学位认证等费用。学生入学注册学籍后，由于学生自身任何原因，或违纪开除所缴纳费用不退。</w:t>
      </w:r>
    </w:p>
    <w:p>
      <w:pPr>
        <w:tabs>
          <w:tab w:val="left" w:pos="7140"/>
        </w:tabs>
        <w:spacing w:line="480" w:lineRule="exact"/>
        <w:rPr>
          <w:rFonts w:hint="eastAsia" w:ascii="微软雅黑" w:hAnsi="微软雅黑" w:eastAsia="微软雅黑" w:cs="微软雅黑"/>
          <w:color w:val="0000FF"/>
          <w:sz w:val="21"/>
          <w:szCs w:val="21"/>
          <w:lang w:val="zh-TW" w:eastAsia="zh-TW"/>
        </w:rPr>
      </w:pPr>
      <w:r>
        <w:rPr>
          <w:rFonts w:hint="eastAsia" w:ascii="微软雅黑" w:hAnsi="微软雅黑" w:eastAsia="微软雅黑" w:cs="微软雅黑"/>
          <w:color w:val="0000FF"/>
          <w:sz w:val="21"/>
          <w:szCs w:val="21"/>
          <w:lang w:val="zh-TW" w:eastAsia="zh-TW"/>
        </w:rPr>
        <w:t>授课校区：</w:t>
      </w:r>
      <w:r>
        <w:rPr>
          <w:rFonts w:hint="eastAsia" w:ascii="微软雅黑" w:hAnsi="微软雅黑" w:eastAsia="微软雅黑" w:cs="微软雅黑"/>
          <w:color w:val="000000" w:themeColor="text1"/>
          <w:sz w:val="21"/>
          <w:szCs w:val="21"/>
          <w:lang w:val="zh-TW" w:eastAsia="zh-TW"/>
        </w:rPr>
        <w:t>本科、硕士、博士课程全程在曼谷市中心主校区学习。</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授予学位</w:t>
      </w:r>
      <w:r>
        <w:rPr>
          <w:rFonts w:hint="eastAsia" w:ascii="微软雅黑" w:hAnsi="微软雅黑" w:eastAsia="微软雅黑" w:cs="微软雅黑"/>
          <w:sz w:val="21"/>
          <w:szCs w:val="21"/>
          <w:lang w:val="zh-TW" w:eastAsia="zh-TW"/>
        </w:rPr>
        <w:t>：学生毕业时符合授予学位条件者，由泰国宣素那他皇家大学授予学位。</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招生对象：</w:t>
      </w:r>
      <w:r>
        <w:rPr>
          <w:rFonts w:hint="eastAsia" w:ascii="微软雅黑" w:hAnsi="微软雅黑" w:eastAsia="微软雅黑" w:cs="微软雅黑"/>
          <w:sz w:val="21"/>
          <w:szCs w:val="21"/>
          <w:lang w:val="zh-TW" w:eastAsia="zh-TW"/>
        </w:rPr>
        <w:t xml:space="preserve"> 应往届本科毕业生</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学习形式：</w:t>
      </w:r>
      <w:r>
        <w:rPr>
          <w:rFonts w:hint="eastAsia" w:ascii="微软雅黑" w:hAnsi="微软雅黑" w:eastAsia="微软雅黑" w:cs="微软雅黑"/>
          <w:sz w:val="21"/>
          <w:szCs w:val="21"/>
          <w:lang w:val="zh-TW" w:eastAsia="zh-TW"/>
        </w:rPr>
        <w:t>全日制学习，正常每年1月、8月注册学籍。申请时间至少需提前2个月。</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学历认证：</w:t>
      </w:r>
      <w:r>
        <w:rPr>
          <w:rFonts w:hint="eastAsia" w:ascii="微软雅黑" w:hAnsi="微软雅黑" w:eastAsia="微软雅黑" w:cs="微软雅黑"/>
          <w:sz w:val="21"/>
          <w:szCs w:val="21"/>
          <w:lang w:val="zh-TW" w:eastAsia="zh-TW"/>
        </w:rPr>
        <w:t>毕业颁发管理学士学位证书或者管理学硕士学位证书能得到中国教育部留学服务中心的认证，认证后能在网上查询，终身有效。</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语言要求：</w:t>
      </w:r>
      <w:r>
        <w:rPr>
          <w:rFonts w:hint="eastAsia" w:ascii="微软雅黑" w:hAnsi="微软雅黑" w:eastAsia="微软雅黑" w:cs="微软雅黑"/>
          <w:sz w:val="21"/>
          <w:szCs w:val="21"/>
          <w:lang w:val="zh-TW" w:eastAsia="zh-TW"/>
        </w:rPr>
        <w:t>入学没有雅思、托福成绩要求。在60课时的英语和60课时的泰语强化课程后，直接进入专业课的学习，在校学习期间，可以多次进行英语的考核，通过为止。</w:t>
      </w:r>
      <w:r>
        <w:rPr>
          <w:rFonts w:hint="eastAsia" w:ascii="微软雅黑" w:hAnsi="微软雅黑" w:eastAsia="微软雅黑" w:cs="微软雅黑"/>
          <w:color w:val="000000" w:themeColor="text1"/>
          <w:sz w:val="21"/>
          <w:szCs w:val="21"/>
          <w:lang w:val="zh-CN" w:eastAsia="zh-TW"/>
        </w:rPr>
        <w:t>英文授课为主，部分课程华文辅助。</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关于假期：</w:t>
      </w:r>
      <w:r>
        <w:rPr>
          <w:rFonts w:hint="eastAsia" w:ascii="微软雅黑" w:hAnsi="微软雅黑" w:eastAsia="微软雅黑" w:cs="微软雅黑"/>
          <w:sz w:val="21"/>
          <w:szCs w:val="21"/>
          <w:lang w:val="zh-TW" w:eastAsia="zh-TW"/>
        </w:rPr>
        <w:t>大学1-5月份是一个大学期，6-7月是一个小学期，8-12月又是一个大学期，除了正常泰国的节假日放假外，每门课结课后，还有每个学期结束后，都会有不同时间的放假，这个具体要到课程结束时问下学校的老师，确认好放假时间，办理好回头签就可以回国。但是因为回国认证对在国外停留时间有要求，所以还是建议不要经常回来。</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参观和实习、研讨和交流</w:t>
      </w:r>
      <w:r>
        <w:rPr>
          <w:rFonts w:hint="eastAsia" w:ascii="微软雅黑" w:hAnsi="微软雅黑" w:eastAsia="微软雅黑" w:cs="微软雅黑"/>
          <w:sz w:val="21"/>
          <w:szCs w:val="21"/>
          <w:lang w:val="zh-TW" w:eastAsia="zh-TW"/>
        </w:rPr>
        <w:t>：学习期间将组织学生到一些企业进行参观考察。</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住宿安排：</w:t>
      </w:r>
      <w:r>
        <w:rPr>
          <w:rFonts w:hint="eastAsia" w:ascii="微软雅黑" w:hAnsi="微软雅黑" w:eastAsia="微软雅黑" w:cs="微软雅黑"/>
          <w:sz w:val="21"/>
          <w:szCs w:val="21"/>
          <w:lang w:val="zh-TW" w:eastAsia="zh-TW"/>
        </w:rPr>
        <w:t>校方负责协调住宿，学生自主选择。</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①大学内部酒店：每天1000泰铢/间，一间房可以住两人，包含两人自助早餐，有免费游泳池和健身房。需要提前2月预定。</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②大学附近教师公寓：每天490泰铢/间，一间房可以住两人，无早餐，不能做饭。需要提前2月预定。距离：步行到大学十几分钟。</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 xml:space="preserve">③其他公寓：费用从6000泰铢/间/月-----10000泰铢/间/月不等，一室一厅房子，可以做饭，根据房间大小及配备的物品，配套设施价格不一样，大多都配有游泳池和健身房，缺点距离稍远，需要打车到校或者坐公交到校上课。  </w:t>
      </w:r>
    </w:p>
    <w:p>
      <w:pPr>
        <w:tabs>
          <w:tab w:val="left" w:pos="7140"/>
        </w:tabs>
        <w:spacing w:line="48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生活费用：</w:t>
      </w:r>
      <w:r>
        <w:rPr>
          <w:rFonts w:hint="eastAsia" w:ascii="微软雅黑" w:hAnsi="微软雅黑" w:eastAsia="微软雅黑" w:cs="微软雅黑"/>
          <w:sz w:val="21"/>
          <w:szCs w:val="21"/>
          <w:lang w:val="zh-TW" w:eastAsia="zh-TW"/>
        </w:rPr>
        <w:t>大学食堂一餐约40--50泰铢，约合人民币8--10元。</w:t>
      </w:r>
    </w:p>
    <w:p>
      <w:pPr>
        <w:tabs>
          <w:tab w:val="left" w:pos="7140"/>
        </w:tabs>
        <w:spacing w:line="480" w:lineRule="exact"/>
        <w:rPr>
          <w:rFonts w:hint="eastAsia" w:ascii="微软雅黑" w:hAnsi="微软雅黑" w:eastAsia="微软雅黑" w:cs="微软雅黑"/>
          <w:sz w:val="21"/>
          <w:szCs w:val="21"/>
          <w:lang w:val="zh-CN" w:eastAsia="zh-TW"/>
        </w:rPr>
      </w:pPr>
    </w:p>
    <w:p>
      <w:pPr>
        <w:spacing w:line="240" w:lineRule="auto"/>
        <w:rPr>
          <w:rFonts w:hint="eastAsia" w:ascii="微软雅黑" w:hAnsi="微软雅黑" w:eastAsia="微软雅黑" w:cs="微软雅黑"/>
          <w:color w:val="0000FF"/>
          <w:sz w:val="28"/>
          <w:szCs w:val="28"/>
          <w:lang w:val="zh-TW" w:eastAsia="zh-TW"/>
        </w:rPr>
      </w:pPr>
      <w:r>
        <w:rPr>
          <w:rFonts w:hint="eastAsia" w:ascii="微软雅黑" w:hAnsi="微软雅黑" w:eastAsia="微软雅黑" w:cs="微软雅黑"/>
          <w:color w:val="0000FF"/>
          <w:sz w:val="28"/>
          <w:szCs w:val="28"/>
          <w:lang w:val="zh-TW" w:eastAsia="zh-TW"/>
        </w:rPr>
        <w:t>办理流程</w:t>
      </w:r>
    </w:p>
    <w:p>
      <w:pPr>
        <w:spacing w:line="54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第一步：准备材料，填写《入学申请表》。</w:t>
      </w:r>
    </w:p>
    <w:p>
      <w:pPr>
        <w:spacing w:line="54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 xml:space="preserve">第二步：提交材料并审核，通过后参加入学笔试和面试，合格者缴纳申请费，本科申请费5000元、 硕士申请费 10000 元（申请费可抵扣学费），申请录取通知书。 </w:t>
      </w:r>
    </w:p>
    <w:p>
      <w:pPr>
        <w:spacing w:line="54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第三步：学生收到大学录取通知书并缴费。</w:t>
      </w:r>
    </w:p>
    <w:p>
      <w:pPr>
        <w:spacing w:line="54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第四步：大学收到学费，协助学生办理留学签证。</w:t>
      </w:r>
    </w:p>
    <w:p>
      <w:pPr>
        <w:spacing w:line="540" w:lineRule="exact"/>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第五步：准备出国，领取出国注意事项手册、学生守则、确定住宿、安排出发及学校接机事宜。</w:t>
      </w: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zh-TW" w:eastAsia="zh-TW"/>
        </w:rPr>
        <w:t>申请及入学</w:t>
      </w:r>
      <w:r>
        <w:rPr>
          <w:rFonts w:hint="eastAsia" w:ascii="微软雅黑" w:hAnsi="微软雅黑" w:eastAsia="微软雅黑" w:cs="微软雅黑"/>
          <w:color w:val="0000FF"/>
          <w:sz w:val="28"/>
          <w:szCs w:val="28"/>
          <w:lang w:val="en-US" w:eastAsia="zh-CN"/>
        </w:rPr>
        <w:t>材料</w:t>
      </w:r>
    </w:p>
    <w:p>
      <w:pPr>
        <w:spacing w:line="540" w:lineRule="exact"/>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b/>
          <w:bCs/>
          <w:color w:val="0000FF"/>
          <w:sz w:val="21"/>
          <w:szCs w:val="21"/>
          <w:highlight w:val="none"/>
        </w:rPr>
        <w:t>申请录取信：</w:t>
      </w:r>
      <w:r>
        <w:rPr>
          <w:rFonts w:hint="eastAsia" w:ascii="微软雅黑" w:hAnsi="微软雅黑" w:eastAsia="微软雅黑" w:cs="微软雅黑"/>
          <w:color w:val="000000" w:themeColor="text1"/>
          <w:sz w:val="21"/>
          <w:szCs w:val="21"/>
        </w:rPr>
        <w:t>① 入学报名表 1 份</w:t>
      </w:r>
    </w:p>
    <w:p>
      <w:pPr>
        <w:spacing w:line="540" w:lineRule="exact"/>
        <w:ind w:firstLine="1260" w:firstLineChars="6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② 毕业证书（需要公证和双认证）</w:t>
      </w:r>
    </w:p>
    <w:p>
      <w:pPr>
        <w:spacing w:line="540" w:lineRule="exact"/>
        <w:ind w:firstLine="1260" w:firstLineChars="6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③ 成绩单（需要公证及双认证）</w:t>
      </w:r>
    </w:p>
    <w:p>
      <w:pPr>
        <w:spacing w:line="540" w:lineRule="exact"/>
        <w:ind w:firstLine="1260" w:firstLineChars="6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④ 护照原件（有效期半年以上）</w:t>
      </w:r>
    </w:p>
    <w:p>
      <w:pPr>
        <w:spacing w:line="540" w:lineRule="exact"/>
        <w:ind w:firstLine="1260" w:firstLineChars="6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⑤ 户口本全部页扫描件</w:t>
      </w:r>
    </w:p>
    <w:p>
      <w:pPr>
        <w:spacing w:line="540" w:lineRule="exact"/>
        <w:ind w:firstLine="1260" w:firstLineChars="600"/>
        <w:rPr>
          <w:rFonts w:hint="eastAsia"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⑥ 身份证扫描件</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rPr>
        <w:t>⑦ 1寸4张近期照片</w:t>
      </w:r>
    </w:p>
    <w:p>
      <w:pPr>
        <w:spacing w:line="540" w:lineRule="exact"/>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 xml:space="preserve">泰国驻华大使馆办理留学签证材料：  </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lang w:val="en-US" w:eastAsia="zh-CN"/>
        </w:rPr>
        <w:t>① 录取信及大学材料（大学出具）</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lang w:val="en-US" w:eastAsia="zh-CN"/>
        </w:rPr>
        <w:t>② 2寸白底彩照4张</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lang w:val="en-US" w:eastAsia="zh-CN"/>
        </w:rPr>
        <w:t>③ 本人名下</w:t>
      </w:r>
      <w:r>
        <w:rPr>
          <w:rFonts w:hint="eastAsia" w:ascii="微软雅黑" w:hAnsi="微软雅黑" w:eastAsia="微软雅黑" w:cs="微软雅黑"/>
          <w:color w:val="000000" w:themeColor="text1"/>
          <w:sz w:val="21"/>
          <w:szCs w:val="21"/>
        </w:rPr>
        <w:t>本人名下5万元银行存款证明</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lang w:val="en-US" w:eastAsia="zh-CN"/>
        </w:rPr>
        <w:t>④ 学生承诺书</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lang w:val="en-US" w:eastAsia="zh-CN"/>
        </w:rPr>
        <w:t>⑤ 单位担保信</w:t>
      </w:r>
    </w:p>
    <w:p>
      <w:pPr>
        <w:spacing w:line="540" w:lineRule="exact"/>
        <w:ind w:firstLine="1260" w:firstLineChars="600"/>
        <w:rPr>
          <w:rFonts w:hint="eastAsia" w:ascii="微软雅黑" w:hAnsi="微软雅黑" w:eastAsia="微软雅黑" w:cs="微软雅黑"/>
          <w:color w:val="000000" w:themeColor="text1"/>
          <w:sz w:val="21"/>
          <w:szCs w:val="21"/>
          <w:lang w:val="en-US" w:eastAsia="zh-CN"/>
        </w:rPr>
      </w:pPr>
      <w:r>
        <w:rPr>
          <w:rFonts w:hint="eastAsia" w:ascii="微软雅黑" w:hAnsi="微软雅黑" w:eastAsia="微软雅黑" w:cs="微软雅黑"/>
          <w:color w:val="000000" w:themeColor="text1"/>
          <w:sz w:val="21"/>
          <w:szCs w:val="21"/>
        </w:rPr>
        <w:t xml:space="preserve">⑥ </w:t>
      </w:r>
      <w:r>
        <w:rPr>
          <w:rFonts w:hint="eastAsia" w:ascii="微软雅黑" w:hAnsi="微软雅黑" w:eastAsia="微软雅黑" w:cs="微软雅黑"/>
          <w:color w:val="000000" w:themeColor="text1"/>
          <w:sz w:val="21"/>
          <w:szCs w:val="21"/>
          <w:lang w:val="en-US" w:eastAsia="zh-CN"/>
        </w:rPr>
        <w:t>居住证明（到居委会开具）</w:t>
      </w:r>
    </w:p>
    <w:p>
      <w:pPr>
        <w:spacing w:line="540" w:lineRule="exact"/>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环境实景:</w:t>
      </w:r>
    </w:p>
    <w:p>
      <w:pPr>
        <w:tabs>
          <w:tab w:val="left" w:pos="7140"/>
        </w:tabs>
        <w:spacing w:line="240" w:lineRule="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0000FF"/>
          <w:sz w:val="24"/>
          <w:lang w:eastAsia="zh-CN"/>
        </w:rPr>
        <w:drawing>
          <wp:inline distT="0" distB="0" distL="114300" distR="114300">
            <wp:extent cx="3368675" cy="2620010"/>
            <wp:effectExtent l="0" t="0" r="3175" b="8890"/>
            <wp:docPr id="10" name="图片 10" descr="2345截图2019022212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45截图20190222120342"/>
                    <pic:cNvPicPr>
                      <a:picLocks noChangeAspect="1"/>
                    </pic:cNvPicPr>
                  </pic:nvPicPr>
                  <pic:blipFill>
                    <a:blip r:embed="rId9"/>
                    <a:stretch>
                      <a:fillRect/>
                    </a:stretch>
                  </pic:blipFill>
                  <pic:spPr>
                    <a:xfrm>
                      <a:off x="0" y="0"/>
                      <a:ext cx="3368675" cy="2620010"/>
                    </a:xfrm>
                    <a:prstGeom prst="rect">
                      <a:avLst/>
                    </a:prstGeom>
                  </pic:spPr>
                </pic:pic>
              </a:graphicData>
            </a:graphic>
          </wp:inline>
        </w:drawing>
      </w:r>
      <w:r>
        <w:rPr>
          <w:rFonts w:hint="eastAsia" w:ascii="微软雅黑" w:hAnsi="微软雅黑" w:eastAsia="微软雅黑" w:cs="微软雅黑"/>
          <w:b/>
          <w:bCs/>
          <w:color w:val="0000FF"/>
          <w:sz w:val="24"/>
          <w:lang w:eastAsia="zh-CN"/>
        </w:rPr>
        <w:drawing>
          <wp:inline distT="0" distB="0" distL="114300" distR="114300">
            <wp:extent cx="3218180" cy="2653030"/>
            <wp:effectExtent l="0" t="0" r="1270" b="13970"/>
            <wp:docPr id="13" name="图片 13" descr="1550815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0815468(1)"/>
                    <pic:cNvPicPr>
                      <a:picLocks noChangeAspect="1"/>
                    </pic:cNvPicPr>
                  </pic:nvPicPr>
                  <pic:blipFill>
                    <a:blip r:embed="rId10"/>
                    <a:stretch>
                      <a:fillRect/>
                    </a:stretch>
                  </pic:blipFill>
                  <pic:spPr>
                    <a:xfrm>
                      <a:off x="0" y="0"/>
                      <a:ext cx="3218180" cy="2653030"/>
                    </a:xfrm>
                    <a:prstGeom prst="rect">
                      <a:avLst/>
                    </a:prstGeom>
                  </pic:spPr>
                </pic:pic>
              </a:graphicData>
            </a:graphic>
          </wp:inline>
        </w:drawing>
      </w:r>
    </w:p>
    <w:p>
      <w:pPr>
        <w:tabs>
          <w:tab w:val="left" w:pos="7140"/>
        </w:tabs>
        <w:spacing w:line="240" w:lineRule="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0000FF"/>
          <w:sz w:val="24"/>
          <w:lang w:eastAsia="zh-CN"/>
        </w:rPr>
        <w:drawing>
          <wp:inline distT="0" distB="0" distL="114300" distR="114300">
            <wp:extent cx="3262630" cy="2646045"/>
            <wp:effectExtent l="0" t="0" r="13970" b="1905"/>
            <wp:docPr id="8" name="图片 8" descr="QQ截图20180426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80426110629"/>
                    <pic:cNvPicPr>
                      <a:picLocks noChangeAspect="1"/>
                    </pic:cNvPicPr>
                  </pic:nvPicPr>
                  <pic:blipFill>
                    <a:blip r:embed="rId11"/>
                    <a:stretch>
                      <a:fillRect/>
                    </a:stretch>
                  </pic:blipFill>
                  <pic:spPr>
                    <a:xfrm>
                      <a:off x="0" y="0"/>
                      <a:ext cx="3262630" cy="2646045"/>
                    </a:xfrm>
                    <a:prstGeom prst="rect">
                      <a:avLst/>
                    </a:prstGeom>
                  </pic:spPr>
                </pic:pic>
              </a:graphicData>
            </a:graphic>
          </wp:inline>
        </w:drawing>
      </w:r>
      <w:r>
        <w:rPr>
          <w:rFonts w:hint="eastAsia" w:ascii="微软雅黑" w:hAnsi="微软雅黑" w:eastAsia="微软雅黑" w:cs="微软雅黑"/>
          <w:b/>
          <w:bCs/>
          <w:color w:val="0000FF"/>
          <w:sz w:val="24"/>
          <w:lang w:eastAsia="zh-CN"/>
        </w:rPr>
        <w:drawing>
          <wp:inline distT="0" distB="0" distL="114300" distR="114300">
            <wp:extent cx="3350895" cy="2628900"/>
            <wp:effectExtent l="0" t="0" r="1905" b="0"/>
            <wp:docPr id="7" name="图片 7" descr="QQ截图201804261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80426110643"/>
                    <pic:cNvPicPr>
                      <a:picLocks noChangeAspect="1"/>
                    </pic:cNvPicPr>
                  </pic:nvPicPr>
                  <pic:blipFill>
                    <a:blip r:embed="rId12"/>
                    <a:stretch>
                      <a:fillRect/>
                    </a:stretch>
                  </pic:blipFill>
                  <pic:spPr>
                    <a:xfrm>
                      <a:off x="0" y="0"/>
                      <a:ext cx="3350895" cy="2628900"/>
                    </a:xfrm>
                    <a:prstGeom prst="rect">
                      <a:avLst/>
                    </a:prstGeom>
                  </pic:spPr>
                </pic:pic>
              </a:graphicData>
            </a:graphic>
          </wp:inline>
        </w:drawing>
      </w:r>
    </w:p>
    <w:p>
      <w:pPr>
        <w:tabs>
          <w:tab w:val="left" w:pos="7140"/>
        </w:tabs>
        <w:spacing w:line="240" w:lineRule="auto"/>
        <w:rPr>
          <w:rFonts w:hint="eastAsia" w:ascii="微软雅黑" w:hAnsi="微软雅黑" w:eastAsia="微软雅黑" w:cs="微软雅黑"/>
          <w:b/>
          <w:bCs/>
          <w:color w:val="0000FF"/>
          <w:sz w:val="24"/>
          <w:lang w:eastAsia="zh-CN"/>
        </w:rPr>
      </w:pPr>
      <w:r>
        <w:drawing>
          <wp:inline distT="0" distB="0" distL="114300" distR="114300">
            <wp:extent cx="3266440" cy="2546350"/>
            <wp:effectExtent l="0" t="0" r="1016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3266440" cy="2546350"/>
                    </a:xfrm>
                    <a:prstGeom prst="rect">
                      <a:avLst/>
                    </a:prstGeom>
                    <a:noFill/>
                    <a:ln w="9525">
                      <a:noFill/>
                    </a:ln>
                  </pic:spPr>
                </pic:pic>
              </a:graphicData>
            </a:graphic>
          </wp:inline>
        </w:drawing>
      </w:r>
      <w:r>
        <w:drawing>
          <wp:inline distT="0" distB="0" distL="114300" distR="114300">
            <wp:extent cx="3340735" cy="2498725"/>
            <wp:effectExtent l="0" t="0" r="12065"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3340735" cy="2498725"/>
                    </a:xfrm>
                    <a:prstGeom prst="rect">
                      <a:avLst/>
                    </a:prstGeom>
                    <a:noFill/>
                    <a:ln w="9525">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3508375" cy="2514600"/>
            <wp:effectExtent l="0" t="0" r="15875" b="0"/>
            <wp:docPr id="15" name="图片 15" descr="1551076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51076927(1)"/>
                    <pic:cNvPicPr>
                      <a:picLocks noChangeAspect="1"/>
                    </pic:cNvPicPr>
                  </pic:nvPicPr>
                  <pic:blipFill>
                    <a:blip r:embed="rId15"/>
                    <a:stretch>
                      <a:fillRect/>
                    </a:stretch>
                  </pic:blipFill>
                  <pic:spPr>
                    <a:xfrm>
                      <a:off x="0" y="0"/>
                      <a:ext cx="3508375" cy="2514600"/>
                    </a:xfrm>
                    <a:prstGeom prst="rect">
                      <a:avLst/>
                    </a:prstGeom>
                  </pic:spPr>
                </pic:pic>
              </a:graphicData>
            </a:graphic>
          </wp:inline>
        </w:drawing>
      </w:r>
      <w:r>
        <w:drawing>
          <wp:inline distT="0" distB="0" distL="114300" distR="114300">
            <wp:extent cx="3065145" cy="2471420"/>
            <wp:effectExtent l="0" t="0" r="1905"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3065145" cy="2471420"/>
                    </a:xfrm>
                    <a:prstGeom prst="rect">
                      <a:avLst/>
                    </a:prstGeom>
                    <a:noFill/>
                    <a:ln w="9525">
                      <a:noFill/>
                    </a:ln>
                  </pic:spPr>
                </pic:pic>
              </a:graphicData>
            </a:graphic>
          </wp:inline>
        </w:drawing>
      </w: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Helvetica Neue">
    <w:altName w:val="Courier New"/>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altName w:val="黑体"/>
    <w:panose1 w:val="020B0503020204020204"/>
    <w:charset w:val="86"/>
    <w:family w:val="swiss"/>
    <w:pitch w:val="default"/>
    <w:sig w:usb0="00000000" w:usb1="00000000" w:usb2="00000016" w:usb3="00000000" w:csb0="0004001F" w:csb1="00000000"/>
  </w:font>
  <w:font w:name="Lucida Sans Unicode">
    <w:panose1 w:val="020B0602030504020204"/>
    <w:charset w:val="00"/>
    <w:family w:val="auto"/>
    <w:pitch w:val="default"/>
    <w:sig w:usb0="80001AFF" w:usb1="0000396B" w:usb2="00000000" w:usb3="00000000" w:csb0="0000003F" w:csb1="D7F70000"/>
  </w:font>
  <w:font w:name="Courier New">
    <w:panose1 w:val="020703090202050204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B371B"/>
    <w:rsid w:val="00265E26"/>
    <w:rsid w:val="00364D90"/>
    <w:rsid w:val="007D52FA"/>
    <w:rsid w:val="008B371B"/>
    <w:rsid w:val="00BD5E58"/>
    <w:rsid w:val="00EE0C92"/>
    <w:rsid w:val="00F60FED"/>
    <w:rsid w:val="01A35BB7"/>
    <w:rsid w:val="02340890"/>
    <w:rsid w:val="025C256C"/>
    <w:rsid w:val="028F49FE"/>
    <w:rsid w:val="03515C54"/>
    <w:rsid w:val="03567FEC"/>
    <w:rsid w:val="03D2221A"/>
    <w:rsid w:val="03D83FA6"/>
    <w:rsid w:val="056B40D4"/>
    <w:rsid w:val="05F120CA"/>
    <w:rsid w:val="076E13BE"/>
    <w:rsid w:val="078C17C2"/>
    <w:rsid w:val="07DC21FF"/>
    <w:rsid w:val="08B258F6"/>
    <w:rsid w:val="08C110F4"/>
    <w:rsid w:val="09094FBE"/>
    <w:rsid w:val="09706761"/>
    <w:rsid w:val="09F20C7F"/>
    <w:rsid w:val="0A7F7B15"/>
    <w:rsid w:val="0B9928F6"/>
    <w:rsid w:val="0BD52D08"/>
    <w:rsid w:val="0D0538B3"/>
    <w:rsid w:val="0D1208CC"/>
    <w:rsid w:val="0D4B7507"/>
    <w:rsid w:val="0D8F4537"/>
    <w:rsid w:val="0D997E72"/>
    <w:rsid w:val="0F487A05"/>
    <w:rsid w:val="10BF385B"/>
    <w:rsid w:val="10C571A4"/>
    <w:rsid w:val="115540B1"/>
    <w:rsid w:val="11580A72"/>
    <w:rsid w:val="118E25DF"/>
    <w:rsid w:val="11CB10D0"/>
    <w:rsid w:val="12B20347"/>
    <w:rsid w:val="12F57398"/>
    <w:rsid w:val="146013E3"/>
    <w:rsid w:val="14F93FA9"/>
    <w:rsid w:val="18110CE4"/>
    <w:rsid w:val="184B5BA5"/>
    <w:rsid w:val="190677CD"/>
    <w:rsid w:val="19434A74"/>
    <w:rsid w:val="199722FA"/>
    <w:rsid w:val="19BD57EE"/>
    <w:rsid w:val="19EC2C3B"/>
    <w:rsid w:val="1A5F1DAF"/>
    <w:rsid w:val="1A942033"/>
    <w:rsid w:val="1B1E7605"/>
    <w:rsid w:val="1B6F7CDA"/>
    <w:rsid w:val="1BB768D3"/>
    <w:rsid w:val="1C1454E5"/>
    <w:rsid w:val="1C2E09A4"/>
    <w:rsid w:val="1DAB7074"/>
    <w:rsid w:val="1F7C263B"/>
    <w:rsid w:val="1FCB3F39"/>
    <w:rsid w:val="20192C5C"/>
    <w:rsid w:val="20F217E1"/>
    <w:rsid w:val="21DA0DA4"/>
    <w:rsid w:val="220F0FD9"/>
    <w:rsid w:val="22494608"/>
    <w:rsid w:val="23F6445F"/>
    <w:rsid w:val="24EE579C"/>
    <w:rsid w:val="250F2A06"/>
    <w:rsid w:val="254367B4"/>
    <w:rsid w:val="264B18EA"/>
    <w:rsid w:val="265A336F"/>
    <w:rsid w:val="265C53D0"/>
    <w:rsid w:val="26FE6CCF"/>
    <w:rsid w:val="27106B68"/>
    <w:rsid w:val="278213BD"/>
    <w:rsid w:val="27A36062"/>
    <w:rsid w:val="29215DD3"/>
    <w:rsid w:val="2952491C"/>
    <w:rsid w:val="2A435ECD"/>
    <w:rsid w:val="2A763F6B"/>
    <w:rsid w:val="2AA46B5E"/>
    <w:rsid w:val="2B3A235F"/>
    <w:rsid w:val="2CEE2952"/>
    <w:rsid w:val="2D5D477A"/>
    <w:rsid w:val="2E5B0CF4"/>
    <w:rsid w:val="2F1A2574"/>
    <w:rsid w:val="2FFC3D46"/>
    <w:rsid w:val="314A46B9"/>
    <w:rsid w:val="31B304F1"/>
    <w:rsid w:val="32301AD5"/>
    <w:rsid w:val="333F34EA"/>
    <w:rsid w:val="33721BFE"/>
    <w:rsid w:val="3386466A"/>
    <w:rsid w:val="341203CE"/>
    <w:rsid w:val="34320C54"/>
    <w:rsid w:val="34547595"/>
    <w:rsid w:val="34C5179C"/>
    <w:rsid w:val="35177FB9"/>
    <w:rsid w:val="36483CF2"/>
    <w:rsid w:val="364B34A6"/>
    <w:rsid w:val="36752F05"/>
    <w:rsid w:val="36941D0A"/>
    <w:rsid w:val="37131265"/>
    <w:rsid w:val="37C21FC0"/>
    <w:rsid w:val="382432E4"/>
    <w:rsid w:val="38427803"/>
    <w:rsid w:val="38E204B9"/>
    <w:rsid w:val="39243F67"/>
    <w:rsid w:val="394F1E90"/>
    <w:rsid w:val="398B1D4D"/>
    <w:rsid w:val="3AF80DF9"/>
    <w:rsid w:val="3B4A663F"/>
    <w:rsid w:val="3B601406"/>
    <w:rsid w:val="3B7317A7"/>
    <w:rsid w:val="3BB92552"/>
    <w:rsid w:val="3BEF4B89"/>
    <w:rsid w:val="3C731312"/>
    <w:rsid w:val="3C920D74"/>
    <w:rsid w:val="3CB91EF8"/>
    <w:rsid w:val="3CDD32FB"/>
    <w:rsid w:val="3E2512EB"/>
    <w:rsid w:val="3E6A5180"/>
    <w:rsid w:val="3E79581A"/>
    <w:rsid w:val="3EAF2B58"/>
    <w:rsid w:val="4020313A"/>
    <w:rsid w:val="4107151C"/>
    <w:rsid w:val="416801EC"/>
    <w:rsid w:val="417E3E5D"/>
    <w:rsid w:val="41AF013A"/>
    <w:rsid w:val="41D067E8"/>
    <w:rsid w:val="42AC69C2"/>
    <w:rsid w:val="43216C7F"/>
    <w:rsid w:val="43C60696"/>
    <w:rsid w:val="459166C9"/>
    <w:rsid w:val="45F260F8"/>
    <w:rsid w:val="463B1DC2"/>
    <w:rsid w:val="463F56BE"/>
    <w:rsid w:val="468526AA"/>
    <w:rsid w:val="46FC51C2"/>
    <w:rsid w:val="4723145F"/>
    <w:rsid w:val="47312036"/>
    <w:rsid w:val="4764057F"/>
    <w:rsid w:val="48AF2FAC"/>
    <w:rsid w:val="494B595B"/>
    <w:rsid w:val="49FB0991"/>
    <w:rsid w:val="4A980429"/>
    <w:rsid w:val="4B062BA3"/>
    <w:rsid w:val="4BE31789"/>
    <w:rsid w:val="4C005B09"/>
    <w:rsid w:val="4CF73E9C"/>
    <w:rsid w:val="4D5369D3"/>
    <w:rsid w:val="4F2D6EA1"/>
    <w:rsid w:val="4F315912"/>
    <w:rsid w:val="4F755311"/>
    <w:rsid w:val="4FD76A0C"/>
    <w:rsid w:val="50395490"/>
    <w:rsid w:val="51050B5E"/>
    <w:rsid w:val="51873849"/>
    <w:rsid w:val="51BF09FC"/>
    <w:rsid w:val="524A111C"/>
    <w:rsid w:val="525A75A0"/>
    <w:rsid w:val="528141A1"/>
    <w:rsid w:val="52AA7160"/>
    <w:rsid w:val="52AA7CBF"/>
    <w:rsid w:val="52CC2BE6"/>
    <w:rsid w:val="52D87E6C"/>
    <w:rsid w:val="535A306B"/>
    <w:rsid w:val="53E43590"/>
    <w:rsid w:val="53F228BB"/>
    <w:rsid w:val="54213A52"/>
    <w:rsid w:val="543A5854"/>
    <w:rsid w:val="551D6CFF"/>
    <w:rsid w:val="55705AA2"/>
    <w:rsid w:val="557A138F"/>
    <w:rsid w:val="559D76F3"/>
    <w:rsid w:val="55D56F5A"/>
    <w:rsid w:val="5612439D"/>
    <w:rsid w:val="5842250E"/>
    <w:rsid w:val="58A64A6F"/>
    <w:rsid w:val="58FB2A55"/>
    <w:rsid w:val="59237C41"/>
    <w:rsid w:val="5A0103F9"/>
    <w:rsid w:val="5A3E630B"/>
    <w:rsid w:val="5A6A65A4"/>
    <w:rsid w:val="5A79073D"/>
    <w:rsid w:val="5B24369D"/>
    <w:rsid w:val="5B6E7544"/>
    <w:rsid w:val="5C184AF8"/>
    <w:rsid w:val="5C920E1C"/>
    <w:rsid w:val="5D4F7AF9"/>
    <w:rsid w:val="5DDF7A04"/>
    <w:rsid w:val="5EA03F87"/>
    <w:rsid w:val="5EBB4A54"/>
    <w:rsid w:val="5F086A78"/>
    <w:rsid w:val="5F3D21AF"/>
    <w:rsid w:val="60D22ECE"/>
    <w:rsid w:val="61CA0093"/>
    <w:rsid w:val="623E5D5E"/>
    <w:rsid w:val="642D6A8F"/>
    <w:rsid w:val="643D0230"/>
    <w:rsid w:val="64630480"/>
    <w:rsid w:val="66A45992"/>
    <w:rsid w:val="66A64510"/>
    <w:rsid w:val="678E15F5"/>
    <w:rsid w:val="691A12EC"/>
    <w:rsid w:val="69AE732F"/>
    <w:rsid w:val="6A091A4C"/>
    <w:rsid w:val="6A215B1A"/>
    <w:rsid w:val="6AAD1437"/>
    <w:rsid w:val="6BC42D68"/>
    <w:rsid w:val="6BC85EA0"/>
    <w:rsid w:val="6C122032"/>
    <w:rsid w:val="6C21796C"/>
    <w:rsid w:val="6C236608"/>
    <w:rsid w:val="6DCE7748"/>
    <w:rsid w:val="6F102DFE"/>
    <w:rsid w:val="6F670871"/>
    <w:rsid w:val="6FEA045F"/>
    <w:rsid w:val="70363DDB"/>
    <w:rsid w:val="70D325D9"/>
    <w:rsid w:val="72615039"/>
    <w:rsid w:val="72AE1153"/>
    <w:rsid w:val="72F30EA4"/>
    <w:rsid w:val="734F7283"/>
    <w:rsid w:val="7364113F"/>
    <w:rsid w:val="74021463"/>
    <w:rsid w:val="74553E0D"/>
    <w:rsid w:val="74896965"/>
    <w:rsid w:val="75317EA0"/>
    <w:rsid w:val="756D51CA"/>
    <w:rsid w:val="757C2F91"/>
    <w:rsid w:val="75DE3223"/>
    <w:rsid w:val="75EE52D5"/>
    <w:rsid w:val="76D92A44"/>
    <w:rsid w:val="76F90C9E"/>
    <w:rsid w:val="771104B5"/>
    <w:rsid w:val="77361944"/>
    <w:rsid w:val="77595907"/>
    <w:rsid w:val="777A76B9"/>
    <w:rsid w:val="78247421"/>
    <w:rsid w:val="79073514"/>
    <w:rsid w:val="7A2D5DE0"/>
    <w:rsid w:val="7A931657"/>
    <w:rsid w:val="7A9D7C45"/>
    <w:rsid w:val="7ACE5C4C"/>
    <w:rsid w:val="7B34313E"/>
    <w:rsid w:val="7C287E17"/>
    <w:rsid w:val="7D6619A8"/>
    <w:rsid w:val="7DD35622"/>
    <w:rsid w:val="7DD43167"/>
    <w:rsid w:val="7DE94A0E"/>
    <w:rsid w:val="7E973BA9"/>
    <w:rsid w:val="7EA2178C"/>
    <w:rsid w:val="7F8E2C9D"/>
    <w:rsid w:val="7F91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列出段落1"/>
    <w:basedOn w:val="1"/>
    <w:qFormat/>
    <w:uiPriority w:val="34"/>
    <w:pPr>
      <w:ind w:firstLine="420" w:firstLineChars="200"/>
    </w:pPr>
  </w:style>
  <w:style w:type="character" w:customStyle="1" w:styleId="12">
    <w:name w:val="批注框文本 Char"/>
    <w:basedOn w:val="8"/>
    <w:link w:val="2"/>
    <w:qFormat/>
    <w:uiPriority w:val="0"/>
    <w:rPr>
      <w:rFonts w:ascii="Calibri" w:hAnsi="Calibri"/>
      <w:kern w:val="2"/>
      <w:sz w:val="18"/>
      <w:szCs w:val="18"/>
    </w:rPr>
  </w:style>
  <w:style w:type="character" w:customStyle="1" w:styleId="13">
    <w:name w:val="页眉 Char"/>
    <w:basedOn w:val="8"/>
    <w:link w:val="4"/>
    <w:qFormat/>
    <w:uiPriority w:val="0"/>
    <w:rPr>
      <w:rFonts w:ascii="Calibri" w:hAnsi="Calibri"/>
      <w:kern w:val="2"/>
      <w:sz w:val="18"/>
      <w:szCs w:val="18"/>
    </w:rPr>
  </w:style>
  <w:style w:type="character" w:customStyle="1" w:styleId="14">
    <w:name w:val="页脚 Char"/>
    <w:basedOn w:val="8"/>
    <w:link w:val="3"/>
    <w:qFormat/>
    <w:uiPriority w:val="0"/>
    <w:rPr>
      <w:rFonts w:ascii="Calibri" w:hAnsi="Calibri"/>
      <w:kern w:val="2"/>
      <w:sz w:val="18"/>
      <w:szCs w:val="18"/>
    </w:rPr>
  </w:style>
  <w:style w:type="paragraph" w:styleId="15">
    <w:name w:val="List Paragraph"/>
    <w:basedOn w:val="1"/>
    <w:qFormat/>
    <w:uiPriority w:val="0"/>
    <w:pPr>
      <w:ind w:firstLine="420"/>
    </w:pPr>
  </w:style>
  <w:style w:type="paragraph" w:customStyle="1" w:styleId="16">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1193</Words>
  <Characters>6804</Characters>
  <Lines>56</Lines>
  <Paragraphs>15</Paragraphs>
  <TotalTime>6</TotalTime>
  <ScaleCrop>false</ScaleCrop>
  <LinksUpToDate>false</LinksUpToDate>
  <CharactersWithSpaces>7982</CharactersWithSpaces>
  <Application>WPS Office_11.1.0.8525_F1E327BC-269C-435d-A152-05C5408002CA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瑞嘉普大学</dc:creator>
  <cp:lastModifiedBy>Dylan</cp:lastModifiedBy>
  <dcterms:modified xsi:type="dcterms:W3CDTF">2008-09-07T12:01:06Z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2052-11.1.0.8525</vt:lpwstr>
  </property>
  <property fmtid="{D5CDD505-2E9C-101B-9397-08002B2CF9AE}" pid="3" name="KSORubyTemplateID" linkTarget="0">
    <vt:lpwstr>6</vt:lpwstr>
  </property>
</Properties>
</file>